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D1157E">
      <w:pPr>
        <w:spacing w:line="600" w:lineRule="exact"/>
        <w:ind w:right="17" w:firstLine="643" w:firstLineChars="200"/>
        <w:rPr>
          <w:rFonts w:hint="eastAsia" w:ascii="宋体" w:hAnsi="宋体" w:cs="宋体"/>
          <w:b/>
          <w:sz w:val="32"/>
          <w:szCs w:val="32"/>
        </w:rPr>
      </w:pPr>
      <w:r>
        <w:rPr>
          <w:rFonts w:hint="eastAsia" w:ascii="宋体" w:hAnsi="宋体" w:cs="宋体"/>
          <w:b/>
          <w:sz w:val="32"/>
          <w:szCs w:val="32"/>
        </w:rPr>
        <w:t>一、工作简况</w:t>
      </w:r>
    </w:p>
    <w:p w14:paraId="12323042">
      <w:pPr>
        <w:spacing w:line="600" w:lineRule="exact"/>
        <w:ind w:right="17" w:firstLine="482" w:firstLineChars="150"/>
        <w:rPr>
          <w:rFonts w:hint="eastAsia" w:ascii="楷体_GB2312" w:hAnsi="宋体" w:eastAsia="楷体_GB2312"/>
          <w:b/>
          <w:sz w:val="32"/>
          <w:szCs w:val="32"/>
        </w:rPr>
      </w:pPr>
      <w:r>
        <w:rPr>
          <w:rFonts w:hint="eastAsia" w:ascii="楷体_GB2312" w:hAnsi="宋体" w:eastAsia="楷体_GB2312"/>
          <w:b/>
          <w:sz w:val="32"/>
          <w:szCs w:val="32"/>
        </w:rPr>
        <w:t>（一）任务来源</w:t>
      </w:r>
    </w:p>
    <w:p w14:paraId="2A721145">
      <w:pPr>
        <w:spacing w:line="360" w:lineRule="auto"/>
        <w:ind w:right="17" w:firstLine="480" w:firstLineChars="200"/>
        <w:rPr>
          <w:rFonts w:hint="eastAsia" w:ascii="楷体_GB2312" w:hAnsi="宋体" w:eastAsia="楷体_GB2312"/>
          <w:b/>
          <w:sz w:val="32"/>
          <w:szCs w:val="32"/>
        </w:rPr>
      </w:pPr>
      <w:r>
        <w:rPr>
          <w:rFonts w:hint="eastAsia"/>
          <w:sz w:val="24"/>
        </w:rPr>
        <w:t>依据2023年10月20日山西省市场监督管理局“关于下达2023年度第七批山西省地方标准制修定项目计划的通知”的文件要求，《两性引诱剂防治梨小食心虫技术规程》被列入山西省地方标准制定计划，项目编号：2023-07292。本标准由山西省农业农村厅提出、组织实施和监督检查，由山西省农业标准化技术委员会（SXS/TC19）归口。</w:t>
      </w:r>
    </w:p>
    <w:p w14:paraId="750D4DDE">
      <w:pPr>
        <w:spacing w:line="600" w:lineRule="exact"/>
        <w:ind w:right="17" w:firstLine="482" w:firstLineChars="150"/>
        <w:rPr>
          <w:rFonts w:hint="eastAsia" w:ascii="楷体_GB2312" w:hAnsi="宋体" w:eastAsia="楷体_GB2312"/>
          <w:b/>
          <w:sz w:val="32"/>
          <w:szCs w:val="32"/>
        </w:rPr>
      </w:pPr>
      <w:r>
        <w:rPr>
          <w:rFonts w:hint="eastAsia" w:ascii="楷体_GB2312" w:hAnsi="宋体" w:eastAsia="楷体_GB2312"/>
          <w:b/>
          <w:sz w:val="32"/>
          <w:szCs w:val="32"/>
        </w:rPr>
        <w:t>（二）起草单位和主要起草人</w:t>
      </w:r>
    </w:p>
    <w:p w14:paraId="6BFC8101">
      <w:pPr>
        <w:spacing w:line="360" w:lineRule="auto"/>
        <w:ind w:firstLine="480" w:firstLineChars="200"/>
        <w:rPr>
          <w:sz w:val="24"/>
        </w:rPr>
      </w:pPr>
      <w:r>
        <w:rPr>
          <w:rFonts w:hint="eastAsia"/>
          <w:sz w:val="24"/>
        </w:rPr>
        <w:t>起草单位：山西农业大学。</w:t>
      </w:r>
    </w:p>
    <w:p w14:paraId="4569AFEE">
      <w:pPr>
        <w:ind w:right="6" w:rightChars="3" w:firstLine="1446" w:firstLineChars="450"/>
        <w:rPr>
          <w:szCs w:val="21"/>
        </w:rPr>
      </w:pPr>
      <w:r>
        <w:rPr>
          <w:rFonts w:hint="eastAsia" w:ascii="楷体_GB2312" w:hAnsi="宋体" w:eastAsia="楷体_GB2312"/>
          <w:b/>
          <w:sz w:val="32"/>
          <w:szCs w:val="32"/>
        </w:rPr>
        <w:t>主要起草人信息表</w:t>
      </w:r>
    </w:p>
    <w:tbl>
      <w:tblPr>
        <w:tblStyle w:val="6"/>
        <w:tblW w:w="54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1095"/>
        <w:gridCol w:w="2331"/>
        <w:gridCol w:w="3232"/>
        <w:gridCol w:w="1573"/>
      </w:tblGrid>
      <w:tr w14:paraId="6A502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582" w:type="pct"/>
            <w:vAlign w:val="center"/>
          </w:tcPr>
          <w:p w14:paraId="65EA4321">
            <w:pPr>
              <w:pStyle w:val="10"/>
              <w:spacing w:line="360" w:lineRule="auto"/>
              <w:ind w:left="0" w:leftChars="0"/>
              <w:jc w:val="center"/>
              <w:rPr>
                <w:rFonts w:ascii="楷体_GB2312" w:hAnsi="宋体" w:eastAsia="楷体_GB2312"/>
                <w:b/>
              </w:rPr>
            </w:pPr>
            <w:r>
              <w:rPr>
                <w:rFonts w:hint="eastAsia" w:ascii="楷体_GB2312" w:hAnsi="宋体" w:eastAsia="楷体_GB2312"/>
                <w:b/>
              </w:rPr>
              <w:t>姓名</w:t>
            </w:r>
          </w:p>
        </w:tc>
        <w:tc>
          <w:tcPr>
            <w:tcW w:w="588" w:type="pct"/>
            <w:vAlign w:val="center"/>
          </w:tcPr>
          <w:p w14:paraId="671E369B">
            <w:pPr>
              <w:pStyle w:val="10"/>
              <w:spacing w:line="360" w:lineRule="auto"/>
              <w:ind w:left="0" w:leftChars="0"/>
              <w:jc w:val="center"/>
              <w:rPr>
                <w:rFonts w:ascii="楷体_GB2312" w:hAnsi="宋体" w:eastAsia="楷体_GB2312"/>
                <w:b/>
              </w:rPr>
            </w:pPr>
            <w:r>
              <w:rPr>
                <w:rFonts w:hint="eastAsia" w:ascii="楷体_GB2312" w:hAnsi="宋体" w:eastAsia="楷体_GB2312"/>
                <w:b/>
              </w:rPr>
              <w:t>性别</w:t>
            </w:r>
          </w:p>
        </w:tc>
        <w:tc>
          <w:tcPr>
            <w:tcW w:w="1251" w:type="pct"/>
            <w:vAlign w:val="center"/>
          </w:tcPr>
          <w:p w14:paraId="0D21CE8D">
            <w:pPr>
              <w:pStyle w:val="10"/>
              <w:spacing w:line="360" w:lineRule="auto"/>
              <w:ind w:left="0" w:leftChars="0"/>
              <w:jc w:val="center"/>
              <w:rPr>
                <w:rFonts w:ascii="楷体_GB2312" w:hAnsi="宋体" w:eastAsia="楷体_GB2312"/>
                <w:b/>
              </w:rPr>
            </w:pPr>
            <w:r>
              <w:rPr>
                <w:rFonts w:hint="eastAsia" w:ascii="楷体_GB2312" w:hAnsi="宋体" w:eastAsia="楷体_GB2312"/>
                <w:b/>
              </w:rPr>
              <w:t>职务/职称</w:t>
            </w:r>
          </w:p>
        </w:tc>
        <w:tc>
          <w:tcPr>
            <w:tcW w:w="1735" w:type="pct"/>
            <w:vAlign w:val="center"/>
          </w:tcPr>
          <w:p w14:paraId="64FD9C76">
            <w:pPr>
              <w:pStyle w:val="10"/>
              <w:spacing w:line="360" w:lineRule="auto"/>
              <w:ind w:left="0" w:leftChars="0"/>
              <w:jc w:val="center"/>
              <w:rPr>
                <w:rFonts w:ascii="楷体_GB2312" w:hAnsi="宋体" w:eastAsia="楷体_GB2312"/>
                <w:b/>
              </w:rPr>
            </w:pPr>
            <w:r>
              <w:rPr>
                <w:rFonts w:hint="eastAsia" w:ascii="楷体_GB2312" w:hAnsi="宋体" w:eastAsia="楷体_GB2312"/>
                <w:b/>
              </w:rPr>
              <w:t>工作单位</w:t>
            </w:r>
          </w:p>
        </w:tc>
        <w:tc>
          <w:tcPr>
            <w:tcW w:w="844" w:type="pct"/>
            <w:vAlign w:val="center"/>
          </w:tcPr>
          <w:p w14:paraId="70683F45">
            <w:pPr>
              <w:pStyle w:val="10"/>
              <w:spacing w:line="360" w:lineRule="auto"/>
              <w:ind w:left="0" w:leftChars="0"/>
              <w:jc w:val="center"/>
              <w:rPr>
                <w:rFonts w:ascii="楷体_GB2312" w:hAnsi="宋体" w:eastAsia="楷体_GB2312"/>
                <w:b/>
              </w:rPr>
            </w:pPr>
            <w:r>
              <w:rPr>
                <w:rFonts w:hint="eastAsia" w:ascii="楷体_GB2312" w:hAnsi="宋体" w:eastAsia="楷体_GB2312"/>
                <w:b/>
              </w:rPr>
              <w:t>任务分工</w:t>
            </w:r>
          </w:p>
        </w:tc>
      </w:tr>
      <w:tr w14:paraId="3248D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582" w:type="pct"/>
            <w:vAlign w:val="center"/>
          </w:tcPr>
          <w:p w14:paraId="1F62E2A6">
            <w:pPr>
              <w:pStyle w:val="10"/>
              <w:spacing w:line="360" w:lineRule="auto"/>
              <w:ind w:left="0" w:leftChars="0"/>
              <w:jc w:val="center"/>
              <w:rPr>
                <w:rFonts w:ascii="Times New Roman" w:hAnsi="Times New Roman" w:eastAsia="宋体"/>
                <w:sz w:val="24"/>
                <w:szCs w:val="20"/>
              </w:rPr>
            </w:pPr>
            <w:r>
              <w:rPr>
                <w:rFonts w:hint="eastAsia" w:ascii="Times New Roman" w:hAnsi="Times New Roman" w:eastAsia="宋体"/>
                <w:sz w:val="24"/>
                <w:szCs w:val="20"/>
              </w:rPr>
              <w:t>孔维娜</w:t>
            </w:r>
          </w:p>
        </w:tc>
        <w:tc>
          <w:tcPr>
            <w:tcW w:w="588" w:type="pct"/>
            <w:vAlign w:val="center"/>
          </w:tcPr>
          <w:p w14:paraId="2F9DB799">
            <w:pPr>
              <w:pStyle w:val="10"/>
              <w:spacing w:line="360" w:lineRule="auto"/>
              <w:ind w:left="0" w:leftChars="0"/>
              <w:jc w:val="center"/>
              <w:rPr>
                <w:rFonts w:ascii="Times New Roman" w:hAnsi="Times New Roman" w:eastAsia="宋体"/>
                <w:sz w:val="24"/>
                <w:szCs w:val="20"/>
              </w:rPr>
            </w:pPr>
            <w:r>
              <w:rPr>
                <w:rFonts w:hint="eastAsia" w:ascii="Times New Roman" w:hAnsi="Times New Roman" w:eastAsia="宋体"/>
                <w:sz w:val="24"/>
                <w:szCs w:val="20"/>
              </w:rPr>
              <w:t>女</w:t>
            </w:r>
          </w:p>
        </w:tc>
        <w:tc>
          <w:tcPr>
            <w:tcW w:w="1251" w:type="pct"/>
            <w:vAlign w:val="center"/>
          </w:tcPr>
          <w:p w14:paraId="50993263">
            <w:pPr>
              <w:pStyle w:val="10"/>
              <w:spacing w:line="360" w:lineRule="auto"/>
              <w:ind w:left="0" w:leftChars="0"/>
              <w:jc w:val="center"/>
              <w:rPr>
                <w:rFonts w:ascii="Times New Roman" w:hAnsi="Times New Roman" w:eastAsia="宋体"/>
                <w:sz w:val="24"/>
                <w:szCs w:val="20"/>
              </w:rPr>
            </w:pPr>
            <w:r>
              <w:rPr>
                <w:rFonts w:hint="eastAsia" w:ascii="Times New Roman" w:hAnsi="Times New Roman" w:eastAsia="宋体"/>
                <w:sz w:val="24"/>
                <w:szCs w:val="20"/>
              </w:rPr>
              <w:t>室主任/副研究员</w:t>
            </w:r>
          </w:p>
        </w:tc>
        <w:tc>
          <w:tcPr>
            <w:tcW w:w="1735" w:type="pct"/>
            <w:vAlign w:val="center"/>
          </w:tcPr>
          <w:p w14:paraId="202ED696">
            <w:pPr>
              <w:pStyle w:val="10"/>
              <w:spacing w:line="360" w:lineRule="auto"/>
              <w:ind w:left="0" w:leftChars="0"/>
              <w:jc w:val="center"/>
              <w:rPr>
                <w:rFonts w:ascii="Times New Roman" w:hAnsi="Times New Roman" w:eastAsia="宋体"/>
                <w:sz w:val="24"/>
                <w:szCs w:val="20"/>
              </w:rPr>
            </w:pPr>
            <w:r>
              <w:rPr>
                <w:rFonts w:hint="eastAsia" w:ascii="Times New Roman" w:hAnsi="Times New Roman" w:eastAsia="宋体"/>
                <w:sz w:val="24"/>
                <w:szCs w:val="20"/>
              </w:rPr>
              <w:t>山西农业大学植物保护学院</w:t>
            </w:r>
          </w:p>
        </w:tc>
        <w:tc>
          <w:tcPr>
            <w:tcW w:w="844" w:type="pct"/>
            <w:vAlign w:val="center"/>
          </w:tcPr>
          <w:p w14:paraId="3FEAEB12">
            <w:pPr>
              <w:pStyle w:val="10"/>
              <w:spacing w:line="360" w:lineRule="auto"/>
              <w:ind w:left="0" w:leftChars="0"/>
              <w:jc w:val="center"/>
              <w:rPr>
                <w:rFonts w:ascii="Times New Roman" w:hAnsi="Times New Roman" w:eastAsia="宋体"/>
                <w:sz w:val="24"/>
                <w:szCs w:val="20"/>
              </w:rPr>
            </w:pPr>
            <w:r>
              <w:rPr>
                <w:rFonts w:hint="eastAsia" w:ascii="Times New Roman" w:hAnsi="Times New Roman" w:eastAsia="宋体"/>
                <w:sz w:val="24"/>
                <w:szCs w:val="20"/>
              </w:rPr>
              <w:t>文本起草</w:t>
            </w:r>
          </w:p>
        </w:tc>
      </w:tr>
      <w:tr w14:paraId="464AF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82" w:type="pct"/>
            <w:vAlign w:val="center"/>
          </w:tcPr>
          <w:p w14:paraId="3038F3E8">
            <w:pPr>
              <w:pStyle w:val="10"/>
              <w:spacing w:line="360" w:lineRule="auto"/>
              <w:ind w:left="0" w:leftChars="0"/>
              <w:jc w:val="center"/>
              <w:rPr>
                <w:rFonts w:ascii="Times New Roman" w:hAnsi="Times New Roman" w:eastAsia="宋体"/>
                <w:sz w:val="24"/>
                <w:szCs w:val="20"/>
              </w:rPr>
            </w:pPr>
            <w:r>
              <w:rPr>
                <w:rFonts w:hint="eastAsia" w:ascii="Times New Roman" w:hAnsi="Times New Roman" w:eastAsia="宋体"/>
                <w:sz w:val="24"/>
                <w:szCs w:val="20"/>
              </w:rPr>
              <w:t>王怡</w:t>
            </w:r>
          </w:p>
        </w:tc>
        <w:tc>
          <w:tcPr>
            <w:tcW w:w="588" w:type="pct"/>
            <w:vAlign w:val="center"/>
          </w:tcPr>
          <w:p w14:paraId="13F1D504">
            <w:pPr>
              <w:pStyle w:val="10"/>
              <w:spacing w:line="360" w:lineRule="auto"/>
              <w:ind w:left="0" w:leftChars="0"/>
              <w:jc w:val="center"/>
              <w:rPr>
                <w:rFonts w:ascii="Times New Roman" w:hAnsi="Times New Roman" w:eastAsia="宋体"/>
                <w:sz w:val="24"/>
                <w:szCs w:val="20"/>
              </w:rPr>
            </w:pPr>
            <w:r>
              <w:rPr>
                <w:rFonts w:hint="eastAsia" w:ascii="Times New Roman" w:hAnsi="Times New Roman" w:eastAsia="宋体"/>
                <w:sz w:val="24"/>
                <w:szCs w:val="20"/>
              </w:rPr>
              <w:t>女</w:t>
            </w:r>
          </w:p>
        </w:tc>
        <w:tc>
          <w:tcPr>
            <w:tcW w:w="1251" w:type="pct"/>
            <w:vAlign w:val="center"/>
          </w:tcPr>
          <w:p w14:paraId="3F85A3BD">
            <w:pPr>
              <w:pStyle w:val="10"/>
              <w:spacing w:line="360" w:lineRule="auto"/>
              <w:ind w:left="0" w:leftChars="0"/>
              <w:jc w:val="center"/>
              <w:rPr>
                <w:rFonts w:ascii="Times New Roman" w:hAnsi="Times New Roman" w:eastAsia="宋体"/>
                <w:sz w:val="24"/>
                <w:szCs w:val="20"/>
              </w:rPr>
            </w:pPr>
            <w:r>
              <w:rPr>
                <w:rFonts w:hint="eastAsia" w:ascii="Times New Roman" w:hAnsi="Times New Roman" w:eastAsia="宋体"/>
                <w:sz w:val="24"/>
                <w:szCs w:val="20"/>
              </w:rPr>
              <w:t>副研究员</w:t>
            </w:r>
          </w:p>
        </w:tc>
        <w:tc>
          <w:tcPr>
            <w:tcW w:w="1735" w:type="pct"/>
            <w:vAlign w:val="center"/>
          </w:tcPr>
          <w:p w14:paraId="04E766BA">
            <w:pPr>
              <w:pStyle w:val="10"/>
              <w:spacing w:line="360" w:lineRule="auto"/>
              <w:ind w:left="0" w:leftChars="0"/>
              <w:jc w:val="center"/>
              <w:rPr>
                <w:rFonts w:ascii="Times New Roman" w:hAnsi="Times New Roman" w:eastAsia="宋体"/>
                <w:sz w:val="24"/>
                <w:szCs w:val="20"/>
              </w:rPr>
            </w:pPr>
            <w:r>
              <w:rPr>
                <w:rFonts w:hint="eastAsia" w:ascii="Times New Roman" w:hAnsi="Times New Roman" w:eastAsia="宋体"/>
                <w:sz w:val="24"/>
                <w:szCs w:val="20"/>
              </w:rPr>
              <w:t>山西农业大学植物保护学院</w:t>
            </w:r>
          </w:p>
        </w:tc>
        <w:tc>
          <w:tcPr>
            <w:tcW w:w="844" w:type="pct"/>
            <w:vAlign w:val="center"/>
          </w:tcPr>
          <w:p w14:paraId="3C5C919D">
            <w:pPr>
              <w:pStyle w:val="10"/>
              <w:spacing w:line="360" w:lineRule="auto"/>
              <w:ind w:left="0" w:leftChars="0"/>
              <w:jc w:val="center"/>
              <w:rPr>
                <w:rFonts w:ascii="Times New Roman" w:hAnsi="Times New Roman" w:eastAsia="宋体"/>
                <w:sz w:val="24"/>
                <w:szCs w:val="20"/>
              </w:rPr>
            </w:pPr>
            <w:r>
              <w:rPr>
                <w:rFonts w:hint="eastAsia" w:ascii="Times New Roman" w:hAnsi="Times New Roman" w:eastAsia="宋体"/>
                <w:sz w:val="24"/>
                <w:szCs w:val="20"/>
              </w:rPr>
              <w:t>资料整理</w:t>
            </w:r>
          </w:p>
        </w:tc>
      </w:tr>
      <w:tr w14:paraId="6E9EF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582" w:type="pct"/>
            <w:vAlign w:val="center"/>
          </w:tcPr>
          <w:p w14:paraId="44BFA5D2">
            <w:pPr>
              <w:pStyle w:val="10"/>
              <w:spacing w:line="360" w:lineRule="auto"/>
              <w:ind w:left="0" w:leftChars="0"/>
              <w:jc w:val="center"/>
              <w:rPr>
                <w:rFonts w:ascii="Times New Roman" w:hAnsi="Times New Roman" w:eastAsia="宋体"/>
                <w:sz w:val="24"/>
                <w:szCs w:val="20"/>
              </w:rPr>
            </w:pPr>
            <w:r>
              <w:rPr>
                <w:rFonts w:hint="eastAsia" w:ascii="Times New Roman" w:hAnsi="Times New Roman" w:eastAsia="宋体"/>
                <w:sz w:val="24"/>
                <w:szCs w:val="20"/>
              </w:rPr>
              <w:t>马瑞燕</w:t>
            </w:r>
          </w:p>
        </w:tc>
        <w:tc>
          <w:tcPr>
            <w:tcW w:w="588" w:type="pct"/>
            <w:vAlign w:val="center"/>
          </w:tcPr>
          <w:p w14:paraId="07493712">
            <w:pPr>
              <w:pStyle w:val="10"/>
              <w:spacing w:line="360" w:lineRule="auto"/>
              <w:ind w:left="0" w:leftChars="0"/>
              <w:jc w:val="center"/>
              <w:rPr>
                <w:rFonts w:ascii="Times New Roman" w:hAnsi="Times New Roman" w:eastAsia="宋体"/>
                <w:sz w:val="24"/>
                <w:szCs w:val="20"/>
              </w:rPr>
            </w:pPr>
            <w:r>
              <w:rPr>
                <w:rFonts w:hint="eastAsia" w:ascii="Times New Roman" w:hAnsi="Times New Roman" w:eastAsia="宋体"/>
                <w:sz w:val="24"/>
                <w:szCs w:val="20"/>
              </w:rPr>
              <w:t>女</w:t>
            </w:r>
          </w:p>
        </w:tc>
        <w:tc>
          <w:tcPr>
            <w:tcW w:w="1251" w:type="pct"/>
            <w:vAlign w:val="center"/>
          </w:tcPr>
          <w:p w14:paraId="1ED24F7C">
            <w:pPr>
              <w:pStyle w:val="10"/>
              <w:spacing w:line="360" w:lineRule="auto"/>
              <w:ind w:left="0" w:leftChars="0"/>
              <w:jc w:val="center"/>
              <w:rPr>
                <w:rFonts w:ascii="Times New Roman" w:hAnsi="Times New Roman" w:eastAsia="宋体"/>
                <w:sz w:val="24"/>
                <w:szCs w:val="20"/>
              </w:rPr>
            </w:pPr>
            <w:r>
              <w:rPr>
                <w:rFonts w:hint="eastAsia" w:ascii="Times New Roman" w:hAnsi="Times New Roman" w:eastAsia="宋体"/>
                <w:sz w:val="24"/>
                <w:szCs w:val="20"/>
              </w:rPr>
              <w:t>院长/教授</w:t>
            </w:r>
          </w:p>
        </w:tc>
        <w:tc>
          <w:tcPr>
            <w:tcW w:w="1735" w:type="pct"/>
            <w:vAlign w:val="center"/>
          </w:tcPr>
          <w:p w14:paraId="05400664">
            <w:pPr>
              <w:pStyle w:val="10"/>
              <w:spacing w:line="360" w:lineRule="auto"/>
              <w:ind w:left="0" w:leftChars="0"/>
              <w:jc w:val="center"/>
              <w:rPr>
                <w:rFonts w:ascii="Times New Roman" w:hAnsi="Times New Roman" w:eastAsia="宋体"/>
                <w:sz w:val="24"/>
                <w:szCs w:val="20"/>
              </w:rPr>
            </w:pPr>
            <w:r>
              <w:rPr>
                <w:rFonts w:hint="eastAsia" w:ascii="Times New Roman" w:hAnsi="Times New Roman" w:eastAsia="宋体"/>
                <w:sz w:val="24"/>
                <w:szCs w:val="20"/>
              </w:rPr>
              <w:t>山西农业大学植物保护学院</w:t>
            </w:r>
          </w:p>
        </w:tc>
        <w:tc>
          <w:tcPr>
            <w:tcW w:w="844" w:type="pct"/>
            <w:vAlign w:val="center"/>
          </w:tcPr>
          <w:p w14:paraId="0441E29A">
            <w:pPr>
              <w:pStyle w:val="10"/>
              <w:spacing w:line="360" w:lineRule="auto"/>
              <w:ind w:left="0" w:leftChars="0"/>
              <w:jc w:val="center"/>
              <w:rPr>
                <w:rFonts w:ascii="Times New Roman" w:hAnsi="Times New Roman" w:eastAsia="宋体"/>
                <w:sz w:val="24"/>
                <w:szCs w:val="20"/>
              </w:rPr>
            </w:pPr>
            <w:r>
              <w:rPr>
                <w:rFonts w:hint="eastAsia" w:ascii="Times New Roman" w:hAnsi="Times New Roman" w:eastAsia="宋体"/>
                <w:sz w:val="24"/>
                <w:szCs w:val="20"/>
              </w:rPr>
              <w:t>技术核实</w:t>
            </w:r>
          </w:p>
        </w:tc>
      </w:tr>
      <w:tr w14:paraId="36560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82" w:type="pct"/>
            <w:vAlign w:val="center"/>
          </w:tcPr>
          <w:p w14:paraId="6299429E">
            <w:pPr>
              <w:pStyle w:val="10"/>
              <w:spacing w:line="360" w:lineRule="auto"/>
              <w:ind w:left="0" w:leftChars="0"/>
              <w:jc w:val="center"/>
              <w:rPr>
                <w:rFonts w:ascii="Times New Roman" w:hAnsi="Times New Roman" w:eastAsia="宋体"/>
                <w:sz w:val="24"/>
                <w:szCs w:val="20"/>
              </w:rPr>
            </w:pPr>
            <w:r>
              <w:rPr>
                <w:rFonts w:hint="eastAsia" w:ascii="Times New Roman" w:hAnsi="Times New Roman" w:eastAsia="宋体"/>
                <w:sz w:val="24"/>
                <w:szCs w:val="20"/>
              </w:rPr>
              <w:t>李捷</w:t>
            </w:r>
          </w:p>
        </w:tc>
        <w:tc>
          <w:tcPr>
            <w:tcW w:w="588" w:type="pct"/>
            <w:vAlign w:val="center"/>
          </w:tcPr>
          <w:p w14:paraId="2C9D8DAD">
            <w:pPr>
              <w:pStyle w:val="10"/>
              <w:spacing w:line="360" w:lineRule="auto"/>
              <w:ind w:left="0" w:leftChars="0"/>
              <w:jc w:val="center"/>
              <w:rPr>
                <w:rFonts w:ascii="Times New Roman" w:hAnsi="Times New Roman" w:eastAsia="宋体"/>
                <w:sz w:val="24"/>
                <w:szCs w:val="20"/>
              </w:rPr>
            </w:pPr>
            <w:r>
              <w:rPr>
                <w:rFonts w:hint="eastAsia" w:ascii="Times New Roman" w:hAnsi="Times New Roman" w:eastAsia="宋体"/>
                <w:sz w:val="24"/>
                <w:szCs w:val="20"/>
              </w:rPr>
              <w:t>男</w:t>
            </w:r>
          </w:p>
        </w:tc>
        <w:tc>
          <w:tcPr>
            <w:tcW w:w="1251" w:type="pct"/>
            <w:vAlign w:val="center"/>
          </w:tcPr>
          <w:p w14:paraId="3350FD5D">
            <w:pPr>
              <w:pStyle w:val="10"/>
              <w:spacing w:line="360" w:lineRule="auto"/>
              <w:ind w:left="0" w:leftChars="0"/>
              <w:jc w:val="center"/>
              <w:rPr>
                <w:rFonts w:ascii="Times New Roman" w:hAnsi="Times New Roman" w:eastAsia="宋体"/>
                <w:sz w:val="24"/>
                <w:szCs w:val="20"/>
              </w:rPr>
            </w:pPr>
            <w:r>
              <w:rPr>
                <w:rFonts w:hint="eastAsia" w:ascii="Times New Roman" w:hAnsi="Times New Roman" w:eastAsia="宋体"/>
                <w:sz w:val="24"/>
                <w:szCs w:val="20"/>
              </w:rPr>
              <w:t>副校长/研究员</w:t>
            </w:r>
          </w:p>
        </w:tc>
        <w:tc>
          <w:tcPr>
            <w:tcW w:w="1735" w:type="pct"/>
            <w:vAlign w:val="center"/>
          </w:tcPr>
          <w:p w14:paraId="4514B89E">
            <w:pPr>
              <w:pStyle w:val="10"/>
              <w:spacing w:line="360" w:lineRule="auto"/>
              <w:ind w:left="0" w:leftChars="0"/>
              <w:jc w:val="center"/>
              <w:rPr>
                <w:rFonts w:ascii="Times New Roman" w:hAnsi="Times New Roman" w:eastAsia="宋体"/>
                <w:sz w:val="24"/>
                <w:szCs w:val="20"/>
              </w:rPr>
            </w:pPr>
            <w:r>
              <w:rPr>
                <w:rFonts w:hint="eastAsia" w:ascii="Times New Roman" w:hAnsi="Times New Roman" w:eastAsia="宋体"/>
                <w:sz w:val="24"/>
                <w:szCs w:val="20"/>
              </w:rPr>
              <w:t>山西农业大学</w:t>
            </w:r>
          </w:p>
        </w:tc>
        <w:tc>
          <w:tcPr>
            <w:tcW w:w="844" w:type="pct"/>
            <w:vAlign w:val="center"/>
          </w:tcPr>
          <w:p w14:paraId="46FB6B73">
            <w:pPr>
              <w:pStyle w:val="10"/>
              <w:spacing w:line="360" w:lineRule="auto"/>
              <w:ind w:left="0" w:leftChars="0"/>
              <w:jc w:val="center"/>
              <w:rPr>
                <w:rFonts w:ascii="Times New Roman" w:hAnsi="Times New Roman" w:eastAsia="宋体"/>
                <w:sz w:val="24"/>
                <w:szCs w:val="20"/>
              </w:rPr>
            </w:pPr>
            <w:r>
              <w:rPr>
                <w:rFonts w:hint="eastAsia" w:ascii="Times New Roman" w:hAnsi="Times New Roman" w:eastAsia="宋体"/>
                <w:sz w:val="24"/>
                <w:szCs w:val="20"/>
              </w:rPr>
              <w:t>技术指导</w:t>
            </w:r>
          </w:p>
        </w:tc>
      </w:tr>
    </w:tbl>
    <w:p w14:paraId="562B4213">
      <w:pPr>
        <w:spacing w:line="360" w:lineRule="auto"/>
        <w:ind w:firstLine="643" w:firstLineChars="200"/>
        <w:rPr>
          <w:sz w:val="24"/>
        </w:rPr>
      </w:pPr>
      <w:r>
        <w:rPr>
          <w:rFonts w:hint="eastAsia" w:ascii="宋体" w:hAnsi="宋体" w:cs="宋体"/>
          <w:b/>
          <w:sz w:val="32"/>
          <w:szCs w:val="32"/>
        </w:rPr>
        <w:t>二、制定标准的必要性和意义</w:t>
      </w:r>
    </w:p>
    <w:p w14:paraId="1A713AA2">
      <w:pPr>
        <w:spacing w:line="360" w:lineRule="auto"/>
        <w:ind w:firstLine="480" w:firstLineChars="200"/>
        <w:rPr>
          <w:sz w:val="24"/>
        </w:rPr>
      </w:pPr>
      <w:r>
        <w:rPr>
          <w:sz w:val="24"/>
        </w:rPr>
        <w:t>梨小食心虫</w:t>
      </w:r>
      <w:r>
        <w:rPr>
          <w:i/>
          <w:iCs/>
          <w:sz w:val="24"/>
        </w:rPr>
        <w:t>Grapholita molesta</w:t>
      </w:r>
      <w:r>
        <w:rPr>
          <w:sz w:val="24"/>
        </w:rPr>
        <w:t xml:space="preserve"> (Busck) 是桃、梨、苹果等果树的重要害虫。以幼虫钻蛀嫩梢和果实进行为害，引起折梢、落果、流胶、腐烂等现象，严重影响果实的产量和品质</w:t>
      </w:r>
      <w:r>
        <w:rPr>
          <w:rFonts w:hint="eastAsia"/>
          <w:sz w:val="24"/>
        </w:rPr>
        <w:t>，</w:t>
      </w:r>
      <w:r>
        <w:rPr>
          <w:sz w:val="24"/>
        </w:rPr>
        <w:t>尤</w:t>
      </w:r>
      <w:r>
        <w:rPr>
          <w:rFonts w:hint="eastAsia"/>
          <w:sz w:val="24"/>
        </w:rPr>
        <w:t>其</w:t>
      </w:r>
      <w:r>
        <w:rPr>
          <w:sz w:val="24"/>
        </w:rPr>
        <w:t>在桃、梨集中种植的果区易大爆发。由于幼虫的钻蛀特性，化学农药很难奏效</w:t>
      </w:r>
      <w:r>
        <w:rPr>
          <w:rFonts w:hint="eastAsia"/>
          <w:sz w:val="24"/>
        </w:rPr>
        <w:t>，并且</w:t>
      </w:r>
      <w:r>
        <w:rPr>
          <w:sz w:val="24"/>
        </w:rPr>
        <w:t>导致害虫产生抗药性、造成果品安全、农药残留、杀伤天敌、污染环境等一系列问题。作为杀虫剂的替代技术，利用性信息素防治梨小食心虫已被证实相当于或者优于传统杀虫剂。</w:t>
      </w:r>
    </w:p>
    <w:p w14:paraId="04E30B6F">
      <w:pPr>
        <w:spacing w:line="360" w:lineRule="auto"/>
        <w:ind w:firstLine="480" w:firstLineChars="200"/>
        <w:rPr>
          <w:sz w:val="24"/>
        </w:rPr>
      </w:pPr>
      <w:r>
        <w:rPr>
          <w:rFonts w:hint="eastAsia"/>
          <w:sz w:val="24"/>
        </w:rPr>
        <w:t>然而，</w:t>
      </w:r>
      <w:r>
        <w:rPr>
          <w:sz w:val="24"/>
        </w:rPr>
        <w:t>仅对雄虫的单一引诱不能有效应对雄虫多次交配和雌虫扩散产卵的繁殖策略。</w:t>
      </w:r>
      <w:r>
        <w:rPr>
          <w:rFonts w:hint="eastAsia"/>
          <w:sz w:val="24"/>
        </w:rPr>
        <w:t>为了</w:t>
      </w:r>
      <w:r>
        <w:rPr>
          <w:sz w:val="24"/>
        </w:rPr>
        <w:t>寻求昆虫性信息素防治技术的提升方向</w:t>
      </w:r>
      <w:r>
        <w:rPr>
          <w:rFonts w:hint="eastAsia"/>
          <w:sz w:val="24"/>
        </w:rPr>
        <w:t>，标准起草课题组在承担的“不同信息化合物协同调控梨小食心虫嗅觉行为的机制研究”、“梨小食心虫性选择及繁殖适合度研究”、“雌雄同诱技术防治桃园梨小食心虫的研究与应用”、“梨小食心虫性信息素防治技术对桃园昆虫群落的影响”、“不同诱源对梨小食心虫的行为影响及其配方研究”、“干扰防治梨小食心虫的基础交配行为学的研究”等项目的研究成果基础上，研发了两性引诱剂新产品，以实现雌、雄虫同诱。</w:t>
      </w:r>
    </w:p>
    <w:p w14:paraId="153A45BE">
      <w:pPr>
        <w:spacing w:line="360" w:lineRule="auto"/>
        <w:ind w:right="17" w:firstLine="360" w:firstLineChars="150"/>
        <w:rPr>
          <w:rFonts w:hint="eastAsia" w:ascii="楷体_GB2312" w:hAnsi="宋体" w:eastAsia="楷体_GB2312"/>
          <w:b/>
          <w:sz w:val="32"/>
          <w:szCs w:val="32"/>
        </w:rPr>
      </w:pPr>
      <w:r>
        <w:rPr>
          <w:rFonts w:hint="eastAsia"/>
          <w:sz w:val="24"/>
        </w:rPr>
        <w:t>本标准主要用于规定两性引诱剂信息化合物的种类、组成、配比、剂量、载体、介质、抗氧化剂、田间设置等技术要点，保障防治效果的同时，推进化学农药的减量化，促进水果产业的优质、安全、健康发展。</w:t>
      </w:r>
    </w:p>
    <w:p w14:paraId="77924823">
      <w:pPr>
        <w:spacing w:line="600" w:lineRule="exact"/>
        <w:ind w:right="17" w:firstLine="643" w:firstLineChars="200"/>
        <w:rPr>
          <w:rFonts w:hint="eastAsia" w:ascii="楷体_GB2312" w:hAnsi="宋体" w:eastAsia="楷体_GB2312"/>
          <w:b/>
          <w:sz w:val="32"/>
          <w:szCs w:val="32"/>
        </w:rPr>
      </w:pPr>
      <w:r>
        <w:rPr>
          <w:rFonts w:hint="eastAsia" w:ascii="楷体_GB2312" w:hAnsi="宋体" w:eastAsia="楷体_GB2312"/>
          <w:b/>
          <w:sz w:val="32"/>
          <w:szCs w:val="32"/>
        </w:rPr>
        <w:t>三、主要起草工作过程</w:t>
      </w:r>
    </w:p>
    <w:p w14:paraId="41E656CF">
      <w:pPr>
        <w:spacing w:line="360" w:lineRule="auto"/>
        <w:ind w:firstLine="480" w:firstLineChars="200"/>
        <w:rPr>
          <w:sz w:val="24"/>
        </w:rPr>
      </w:pPr>
      <w:r>
        <w:rPr>
          <w:rFonts w:hint="eastAsia"/>
          <w:sz w:val="24"/>
        </w:rPr>
        <w:t>1、2023年10月，接到标准编制任务后，成立了标准起草项目组。</w:t>
      </w:r>
    </w:p>
    <w:p w14:paraId="3C9D12D9">
      <w:pPr>
        <w:spacing w:line="360" w:lineRule="auto"/>
        <w:ind w:firstLine="480" w:firstLineChars="200"/>
        <w:rPr>
          <w:sz w:val="24"/>
        </w:rPr>
      </w:pPr>
      <w:r>
        <w:rPr>
          <w:rFonts w:hint="eastAsia"/>
          <w:sz w:val="24"/>
        </w:rPr>
        <w:t>2、</w:t>
      </w:r>
      <w:r>
        <w:rPr>
          <w:sz w:val="24"/>
        </w:rPr>
        <w:t>2023</w:t>
      </w:r>
      <w:r>
        <w:rPr>
          <w:rFonts w:hint="eastAsia"/>
          <w:sz w:val="24"/>
        </w:rPr>
        <w:t>年11-2024年1月，标准起草项目组认真学习了《标准化工作导则 第1部分：标准化文件的结构和起草规则》（</w:t>
      </w:r>
      <w:r>
        <w:rPr>
          <w:sz w:val="24"/>
        </w:rPr>
        <w:t>GB/T 1.1-2020</w:t>
      </w:r>
      <w:r>
        <w:rPr>
          <w:rFonts w:hint="eastAsia"/>
          <w:sz w:val="24"/>
        </w:rPr>
        <w:t>）了解了标准书写结构、书写方式；参阅了相关国家政策文件、国家标准、行业标准（</w:t>
      </w:r>
      <w:r>
        <w:rPr>
          <w:sz w:val="24"/>
        </w:rPr>
        <w:t>NY/T 3093.3</w:t>
      </w:r>
      <w:r>
        <w:rPr>
          <w:rFonts w:hint="eastAsia"/>
          <w:sz w:val="24"/>
        </w:rPr>
        <w:t>、</w:t>
      </w:r>
      <w:r>
        <w:rPr>
          <w:sz w:val="24"/>
        </w:rPr>
        <w:t>NY/T 2733</w:t>
      </w:r>
      <w:r>
        <w:rPr>
          <w:rFonts w:hint="eastAsia"/>
          <w:sz w:val="24"/>
        </w:rPr>
        <w:t>、</w:t>
      </w:r>
      <w:r>
        <w:rPr>
          <w:sz w:val="24"/>
        </w:rPr>
        <w:t>NY/T 2685</w:t>
      </w:r>
      <w:r>
        <w:rPr>
          <w:rFonts w:hint="eastAsia"/>
          <w:sz w:val="24"/>
        </w:rPr>
        <w:t>、</w:t>
      </w:r>
      <w:r>
        <w:rPr>
          <w:sz w:val="24"/>
        </w:rPr>
        <w:t>NY/T 2039</w:t>
      </w:r>
      <w:r>
        <w:rPr>
          <w:rFonts w:hint="eastAsia"/>
          <w:sz w:val="24"/>
        </w:rPr>
        <w:t>）、10余项省级地方标准、20余篇国内外关于害虫嗅觉行为调控技术相关文献。</w:t>
      </w:r>
    </w:p>
    <w:p w14:paraId="70E8EBE4">
      <w:pPr>
        <w:spacing w:line="360" w:lineRule="auto"/>
        <w:ind w:firstLine="480" w:firstLineChars="200"/>
        <w:rPr>
          <w:sz w:val="24"/>
        </w:rPr>
      </w:pPr>
      <w:r>
        <w:rPr>
          <w:rFonts w:hint="eastAsia"/>
          <w:sz w:val="24"/>
        </w:rPr>
        <w:t>3、</w:t>
      </w:r>
      <w:r>
        <w:rPr>
          <w:sz w:val="24"/>
        </w:rPr>
        <w:t>202</w:t>
      </w:r>
      <w:r>
        <w:rPr>
          <w:rFonts w:hint="eastAsia"/>
          <w:sz w:val="24"/>
        </w:rPr>
        <w:t>4年2-4月，整理了2</w:t>
      </w:r>
      <w:r>
        <w:rPr>
          <w:sz w:val="24"/>
        </w:rPr>
        <w:t>010</w:t>
      </w:r>
      <w:r>
        <w:rPr>
          <w:rFonts w:hint="eastAsia"/>
          <w:sz w:val="24"/>
        </w:rPr>
        <w:t>-2024年在山西省晋中市、临汾市、运城市等地的两性引诱剂相关研究数据，进一步在上述地区进行了防治效果调研，在此基础上进行分析、归纳、总结。</w:t>
      </w:r>
    </w:p>
    <w:p w14:paraId="32AE7A99">
      <w:pPr>
        <w:spacing w:line="360" w:lineRule="auto"/>
        <w:ind w:firstLine="480" w:firstLineChars="200"/>
        <w:rPr>
          <w:sz w:val="24"/>
        </w:rPr>
      </w:pPr>
      <w:r>
        <w:rPr>
          <w:rFonts w:hint="eastAsia"/>
          <w:sz w:val="24"/>
        </w:rPr>
        <w:t>4、</w:t>
      </w:r>
      <w:r>
        <w:rPr>
          <w:sz w:val="24"/>
        </w:rPr>
        <w:t>202</w:t>
      </w:r>
      <w:r>
        <w:rPr>
          <w:rFonts w:hint="eastAsia"/>
          <w:sz w:val="24"/>
        </w:rPr>
        <w:t>4年5-8月，标准起草组按照标准的要求，对标准的框架和内容进行讨论，确定标准大纲。按照大纲撰写地方标准文本草案、形成征求意见稿。</w:t>
      </w:r>
    </w:p>
    <w:p w14:paraId="6AA2014B">
      <w:pPr>
        <w:spacing w:line="360" w:lineRule="auto"/>
        <w:ind w:right="17" w:firstLine="480" w:firstLineChars="200"/>
        <w:rPr>
          <w:sz w:val="24"/>
        </w:rPr>
      </w:pPr>
      <w:r>
        <w:rPr>
          <w:rFonts w:hint="eastAsia"/>
          <w:sz w:val="24"/>
        </w:rPr>
        <w:t>5、</w:t>
      </w:r>
      <w:r>
        <w:rPr>
          <w:sz w:val="24"/>
        </w:rPr>
        <w:t>202</w:t>
      </w:r>
      <w:r>
        <w:rPr>
          <w:rFonts w:hint="eastAsia"/>
          <w:sz w:val="24"/>
        </w:rPr>
        <w:t>4年9-10月，将标准征求意见稿发至山西农业大学植物保护学院、山西农业大学园艺学院、山西农业大学果树研究所、山西省植物保护植物检疫中心的专家征求意见，并结合专家意见对标准文本进行了修改。</w:t>
      </w:r>
    </w:p>
    <w:p w14:paraId="64187F8C">
      <w:pPr>
        <w:spacing w:line="360" w:lineRule="auto"/>
        <w:ind w:right="17" w:firstLine="480" w:firstLineChars="200"/>
        <w:rPr>
          <w:sz w:val="24"/>
        </w:rPr>
      </w:pPr>
      <w:r>
        <w:rPr>
          <w:rFonts w:hint="eastAsia"/>
          <w:sz w:val="24"/>
        </w:rPr>
        <w:t>6、2024年10月17日，由相关专家对标准文本进行了技术初审。</w:t>
      </w:r>
    </w:p>
    <w:p w14:paraId="1AE20DE1">
      <w:pPr>
        <w:spacing w:line="360" w:lineRule="auto"/>
        <w:ind w:right="17" w:firstLine="480" w:firstLineChars="200"/>
        <w:rPr>
          <w:sz w:val="24"/>
        </w:rPr>
      </w:pPr>
      <w:r>
        <w:rPr>
          <w:rFonts w:hint="eastAsia"/>
          <w:sz w:val="24"/>
        </w:rPr>
        <w:t>7、2024年10月，标准起草组按照技术初审专家的意见和建议，对标准文本进行了进一步的修改。</w:t>
      </w:r>
    </w:p>
    <w:p w14:paraId="6DF87B0A">
      <w:pPr>
        <w:spacing w:line="360" w:lineRule="auto"/>
        <w:ind w:firstLine="630" w:firstLineChars="196"/>
        <w:rPr>
          <w:rFonts w:hint="eastAsia" w:ascii="宋体" w:hAnsi="宋体"/>
          <w:b/>
          <w:sz w:val="32"/>
          <w:szCs w:val="32"/>
        </w:rPr>
      </w:pPr>
      <w:r>
        <w:rPr>
          <w:rFonts w:hint="eastAsia" w:ascii="宋体" w:hAnsi="宋体"/>
          <w:b/>
          <w:sz w:val="32"/>
          <w:szCs w:val="32"/>
        </w:rPr>
        <w:t>四、制定标准的原则和依据，与现行法律、法规、标准的关系</w:t>
      </w:r>
    </w:p>
    <w:p w14:paraId="56B5B739">
      <w:pPr>
        <w:spacing w:line="360" w:lineRule="auto"/>
        <w:ind w:firstLine="480" w:firstLineChars="200"/>
        <w:jc w:val="left"/>
        <w:rPr>
          <w:rFonts w:ascii="宋体" w:hAnsi="宋体" w:cs="仿宋"/>
          <w:color w:val="000000"/>
          <w:sz w:val="24"/>
          <w:szCs w:val="22"/>
        </w:rPr>
      </w:pPr>
      <w:r>
        <w:rPr>
          <w:rFonts w:hint="eastAsia" w:ascii="宋体" w:hAnsi="宋体" w:cs="仿宋"/>
          <w:color w:val="000000"/>
          <w:sz w:val="24"/>
          <w:szCs w:val="22"/>
        </w:rPr>
        <w:t>1、原则和依据</w:t>
      </w:r>
    </w:p>
    <w:p w14:paraId="3DC0333D">
      <w:pPr>
        <w:spacing w:line="360" w:lineRule="auto"/>
        <w:ind w:firstLine="480" w:firstLineChars="200"/>
        <w:jc w:val="left"/>
        <w:rPr>
          <w:rFonts w:hint="eastAsia" w:ascii="宋体" w:hAnsi="宋体" w:cs="仿宋"/>
          <w:color w:val="000000"/>
          <w:sz w:val="32"/>
          <w:szCs w:val="28"/>
        </w:rPr>
      </w:pPr>
      <w:r>
        <w:rPr>
          <w:rFonts w:hint="eastAsia" w:ascii="宋体" w:hAnsi="宋体" w:cs="仿宋"/>
          <w:color w:val="000000"/>
          <w:sz w:val="24"/>
          <w:szCs w:val="22"/>
        </w:rPr>
        <w:t>科学性原则：</w:t>
      </w:r>
      <w:r>
        <w:rPr>
          <w:rFonts w:hint="eastAsia"/>
          <w:sz w:val="24"/>
        </w:rPr>
        <w:t>本标准首先通过昆虫触角电位技术（EAG）、风洞行为学等研究手段进行了室内生物测定，获得了两性引诱剂活性成分；其次对活性成分的载体、介质、抗氧化剂等进行了田间筛选；再次将两性引诱剂在不同世代、年份、果园、栽培特点、地区等进行了防效验证，使标准具有较强的科学性。</w:t>
      </w:r>
    </w:p>
    <w:p w14:paraId="24A07EEC">
      <w:pPr>
        <w:spacing w:line="360" w:lineRule="auto"/>
        <w:ind w:firstLine="480" w:firstLineChars="200"/>
        <w:rPr>
          <w:sz w:val="24"/>
        </w:rPr>
      </w:pPr>
      <w:r>
        <w:rPr>
          <w:rFonts w:hint="eastAsia"/>
          <w:sz w:val="24"/>
        </w:rPr>
        <w:t>适用性原则：本标准编写时结合实际使用情况，注重细节、可操作性。细化两性引诱剂配制、田间设置、防治效果调查等内容，并于2010-2024年间分别在山西省晋中市、临汾市、运城市等地的桃园、梨园和苹果园进行梨小食心虫的防治，力争在不同的果园、地区均有良好的适用性。</w:t>
      </w:r>
    </w:p>
    <w:p w14:paraId="641EEA7A">
      <w:pPr>
        <w:spacing w:line="360" w:lineRule="auto"/>
        <w:ind w:firstLine="480" w:firstLineChars="200"/>
        <w:rPr>
          <w:sz w:val="24"/>
        </w:rPr>
      </w:pPr>
      <w:r>
        <w:rPr>
          <w:rFonts w:hint="eastAsia"/>
          <w:sz w:val="24"/>
        </w:rPr>
        <w:t>规范性原则：本标准通过山西省应用基础研究项目、山西省农业科学院农业科技创新研究课题、院博士研究基金等项目的实施，获得了有关引诱剂成分、比例、剂量、载体、介质、抗氧化剂、田间使用方法等关键技术的各项参数，保证了两性引诱剂在使用过程中的规范性。</w:t>
      </w:r>
    </w:p>
    <w:p w14:paraId="581B593D">
      <w:pPr>
        <w:spacing w:line="360" w:lineRule="auto"/>
        <w:ind w:firstLine="480" w:firstLineChars="200"/>
        <w:jc w:val="left"/>
        <w:rPr>
          <w:rFonts w:ascii="宋体" w:hAnsi="宋体" w:cs="仿宋"/>
          <w:color w:val="000000"/>
          <w:sz w:val="24"/>
          <w:szCs w:val="22"/>
        </w:rPr>
      </w:pPr>
      <w:r>
        <w:rPr>
          <w:rFonts w:hint="eastAsia" w:ascii="宋体" w:hAnsi="宋体" w:cs="仿宋"/>
          <w:color w:val="000000"/>
          <w:sz w:val="24"/>
          <w:szCs w:val="22"/>
        </w:rPr>
        <w:t>2、与现行法律、法规、标准的关系</w:t>
      </w:r>
    </w:p>
    <w:p w14:paraId="1BB32276">
      <w:pPr>
        <w:spacing w:line="360" w:lineRule="auto"/>
        <w:ind w:firstLine="480" w:firstLineChars="200"/>
        <w:rPr>
          <w:sz w:val="24"/>
        </w:rPr>
      </w:pPr>
      <w:r>
        <w:rPr>
          <w:rFonts w:hint="eastAsia"/>
          <w:sz w:val="24"/>
        </w:rPr>
        <w:t>本标准严格遵循《中华人民共和国农业法》、《中华人民共和国农业技术推广法》等法律、法规。本标准借鉴了其它省市的一些经验，与现行的国标、行标及其它省市的地方标准相比较，本标准突出了以下3个方面的内容。</w:t>
      </w:r>
    </w:p>
    <w:p w14:paraId="423DC9C1">
      <w:pPr>
        <w:spacing w:line="360" w:lineRule="auto"/>
        <w:ind w:firstLine="480" w:firstLineChars="200"/>
        <w:rPr>
          <w:sz w:val="24"/>
        </w:rPr>
      </w:pPr>
      <w:r>
        <w:rPr>
          <w:rFonts w:hint="eastAsia"/>
          <w:sz w:val="24"/>
        </w:rPr>
        <w:t>（1）本标准制定了用于防治梨小食心虫的两性引诱剂配制方法，实现了雌、雄同诱，提升了害虫性信息素防治技术，丰富了以信息化合物为核心的害虫嗅觉行为调控技术。</w:t>
      </w:r>
    </w:p>
    <w:p w14:paraId="5771D67D">
      <w:pPr>
        <w:spacing w:line="360" w:lineRule="auto"/>
        <w:ind w:firstLine="480" w:firstLineChars="200"/>
        <w:rPr>
          <w:sz w:val="24"/>
        </w:rPr>
      </w:pPr>
      <w:r>
        <w:rPr>
          <w:rFonts w:hint="eastAsia"/>
          <w:sz w:val="24"/>
        </w:rPr>
        <w:t>（2）本标准规范了用于防治梨小食心虫的两性引诱剂田间使用方法，该方法已在晋中、临汾、运城等地的果树主产区应用。</w:t>
      </w:r>
    </w:p>
    <w:p w14:paraId="453E7065">
      <w:pPr>
        <w:spacing w:line="360" w:lineRule="auto"/>
        <w:ind w:firstLine="480" w:firstLineChars="200"/>
        <w:rPr>
          <w:rFonts w:hint="eastAsia" w:ascii="宋体" w:hAnsi="宋体"/>
          <w:b/>
          <w:sz w:val="32"/>
          <w:szCs w:val="32"/>
        </w:rPr>
      </w:pPr>
      <w:r>
        <w:rPr>
          <w:rFonts w:hint="eastAsia"/>
          <w:sz w:val="24"/>
        </w:rPr>
        <w:t>（3）本标准通过2种经典的、广泛应用的室内生物测定方法，多轮的田间诱蛾试验，多年、多地的田间防效验证，筛选出了两性引诱剂配方，结果可靠性高。</w:t>
      </w:r>
    </w:p>
    <w:p w14:paraId="06F1D6E6">
      <w:pPr>
        <w:spacing w:line="360" w:lineRule="auto"/>
        <w:ind w:firstLine="643" w:firstLineChars="200"/>
        <w:rPr>
          <w:rFonts w:ascii="宋体" w:hAnsi="宋体" w:cs="仿宋"/>
          <w:b/>
          <w:color w:val="000000"/>
          <w:sz w:val="32"/>
          <w:szCs w:val="28"/>
        </w:rPr>
      </w:pPr>
      <w:r>
        <w:rPr>
          <w:rFonts w:hint="eastAsia" w:ascii="宋体" w:hAnsi="宋体" w:cs="仿宋"/>
          <w:b/>
          <w:color w:val="000000"/>
          <w:sz w:val="32"/>
          <w:szCs w:val="28"/>
        </w:rPr>
        <w:t>五、主要条款说明</w:t>
      </w:r>
    </w:p>
    <w:p w14:paraId="1F0AAA4B">
      <w:pPr>
        <w:pStyle w:val="10"/>
        <w:spacing w:line="360" w:lineRule="auto"/>
        <w:ind w:left="0" w:leftChars="0" w:firstLine="480" w:firstLineChars="200"/>
        <w:rPr>
          <w:rFonts w:ascii="Times New Roman" w:hAnsi="Times New Roman" w:eastAsia="宋体"/>
          <w:sz w:val="24"/>
          <w:szCs w:val="20"/>
        </w:rPr>
      </w:pPr>
      <w:r>
        <w:rPr>
          <w:rFonts w:hint="eastAsia" w:ascii="Times New Roman" w:hAnsi="Times New Roman" w:eastAsia="宋体"/>
          <w:sz w:val="24"/>
          <w:szCs w:val="20"/>
        </w:rPr>
        <w:t>本标准分9部分，包括前言、范围、规范性引用文件、术语和定义、两性诱捕器制作、田间防控、防治效果调查、档案管理、资料性附录。</w:t>
      </w:r>
    </w:p>
    <w:p w14:paraId="7733C9B9">
      <w:pPr>
        <w:pStyle w:val="5"/>
        <w:spacing w:before="0" w:beforeAutospacing="0" w:after="0" w:afterAutospacing="0" w:line="360" w:lineRule="auto"/>
        <w:ind w:firstLine="480" w:firstLineChars="200"/>
        <w:rPr>
          <w:kern w:val="2"/>
        </w:rPr>
      </w:pPr>
      <w:r>
        <w:rPr>
          <w:rFonts w:hint="eastAsia"/>
          <w:kern w:val="2"/>
        </w:rPr>
        <w:t>其中，</w:t>
      </w:r>
    </w:p>
    <w:p w14:paraId="18CEAD2E">
      <w:pPr>
        <w:pStyle w:val="5"/>
        <w:spacing w:before="0" w:beforeAutospacing="0" w:after="0" w:afterAutospacing="0" w:line="360" w:lineRule="auto"/>
        <w:ind w:firstLine="480" w:firstLineChars="200"/>
      </w:pPr>
      <w:r>
        <w:rPr>
          <w:rFonts w:hint="eastAsia"/>
          <w:kern w:val="2"/>
        </w:rPr>
        <w:t>术语和定义包括：</w:t>
      </w:r>
      <w:r>
        <w:rPr>
          <w:rFonts w:hint="eastAsia"/>
        </w:rPr>
        <w:t>性诱剂、食物诱饵、介质、抗氧化剂</w:t>
      </w:r>
      <w:r>
        <w:rPr>
          <w:rFonts w:hint="eastAsia"/>
          <w:kern w:val="2"/>
        </w:rPr>
        <w:t>、</w:t>
      </w:r>
      <w:bookmarkStart w:id="0" w:name="_Toc32871975"/>
      <w:bookmarkStart w:id="1" w:name="_Toc32872045"/>
      <w:r>
        <w:rPr>
          <w:rFonts w:hint="eastAsia"/>
          <w:kern w:val="2"/>
        </w:rPr>
        <w:t>两性</w:t>
      </w:r>
      <w:r>
        <w:t>引诱剂</w:t>
      </w:r>
      <w:bookmarkEnd w:id="0"/>
      <w:bookmarkEnd w:id="1"/>
      <w:r>
        <w:rPr>
          <w:rFonts w:hint="eastAsia"/>
        </w:rPr>
        <w:t>；</w:t>
      </w:r>
      <w:bookmarkStart w:id="2" w:name="_Toc32872070"/>
      <w:bookmarkStart w:id="3" w:name="_Toc32872054"/>
      <w:bookmarkStart w:id="4" w:name="_Toc32871984"/>
    </w:p>
    <w:bookmarkEnd w:id="2"/>
    <w:bookmarkEnd w:id="3"/>
    <w:bookmarkEnd w:id="4"/>
    <w:p w14:paraId="4BD671A3">
      <w:pPr>
        <w:pStyle w:val="5"/>
        <w:spacing w:before="0" w:beforeAutospacing="0" w:after="0" w:afterAutospacing="0" w:line="360" w:lineRule="auto"/>
        <w:ind w:firstLine="480" w:firstLineChars="200"/>
      </w:pPr>
      <w:r>
        <w:rPr>
          <w:rFonts w:hint="eastAsia"/>
        </w:rPr>
        <w:t>两性诱捕器制作包括：性诱剂配制、食物诱饵配制、介质配制、抗氧化剂配置和载体；</w:t>
      </w:r>
      <w:bookmarkStart w:id="5" w:name="_Toc32872058"/>
      <w:bookmarkStart w:id="6" w:name="_Toc32871996"/>
      <w:bookmarkStart w:id="7" w:name="_Toc32872071"/>
    </w:p>
    <w:p w14:paraId="7CD24F54">
      <w:pPr>
        <w:pStyle w:val="5"/>
        <w:spacing w:before="0" w:beforeAutospacing="0" w:after="0" w:afterAutospacing="0" w:line="360" w:lineRule="auto"/>
        <w:ind w:firstLine="480" w:firstLineChars="200"/>
      </w:pPr>
      <w:r>
        <w:t>田间</w:t>
      </w:r>
      <w:bookmarkEnd w:id="5"/>
      <w:bookmarkEnd w:id="6"/>
      <w:bookmarkEnd w:id="7"/>
      <w:r>
        <w:rPr>
          <w:rFonts w:hint="eastAsia"/>
        </w:rPr>
        <w:t>防控包括：</w:t>
      </w:r>
      <w:r>
        <w:t>监测</w:t>
      </w:r>
      <w:r>
        <w:rPr>
          <w:rFonts w:hint="eastAsia"/>
        </w:rPr>
        <w:t>、大量诱捕防治和</w:t>
      </w:r>
      <w:r>
        <w:t>迷向防治</w:t>
      </w:r>
      <w:r>
        <w:rPr>
          <w:rFonts w:hint="eastAsia"/>
        </w:rPr>
        <w:t>；</w:t>
      </w:r>
    </w:p>
    <w:p w14:paraId="2B3A56E8">
      <w:pPr>
        <w:spacing w:line="360" w:lineRule="auto"/>
        <w:ind w:firstLine="480" w:firstLineChars="200"/>
        <w:rPr>
          <w:kern w:val="0"/>
          <w:sz w:val="24"/>
          <w:lang w:bidi="ar"/>
        </w:rPr>
      </w:pPr>
      <w:r>
        <w:rPr>
          <w:rFonts w:hint="eastAsia"/>
          <w:kern w:val="0"/>
          <w:sz w:val="24"/>
          <w:lang w:bidi="ar"/>
        </w:rPr>
        <w:t>防治效果调查包括：调查方法和计算方法。</w:t>
      </w:r>
    </w:p>
    <w:p w14:paraId="0B210B72">
      <w:pPr>
        <w:ind w:firstLine="643" w:firstLineChars="200"/>
        <w:jc w:val="left"/>
        <w:rPr>
          <w:rFonts w:ascii="宋体" w:hAnsi="宋体"/>
          <w:b/>
          <w:sz w:val="32"/>
          <w:szCs w:val="32"/>
        </w:rPr>
      </w:pPr>
      <w:r>
        <w:rPr>
          <w:rFonts w:hint="eastAsia" w:ascii="宋体" w:hAnsi="宋体"/>
          <w:b/>
          <w:sz w:val="32"/>
          <w:szCs w:val="32"/>
        </w:rPr>
        <w:t>六、重大意见分歧的处理依据和结果</w:t>
      </w:r>
    </w:p>
    <w:p w14:paraId="74F89692">
      <w:pPr>
        <w:spacing w:line="360" w:lineRule="auto"/>
        <w:ind w:firstLine="480" w:firstLineChars="200"/>
        <w:jc w:val="left"/>
        <w:rPr>
          <w:rFonts w:ascii="宋体" w:hAnsi="宋体"/>
          <w:b/>
          <w:sz w:val="32"/>
          <w:szCs w:val="32"/>
        </w:rPr>
      </w:pPr>
      <w:r>
        <w:rPr>
          <w:rFonts w:hint="eastAsia"/>
          <w:sz w:val="24"/>
        </w:rPr>
        <w:t>将标准征求意见稿发至山西农业大学植物保护学院、山西农业大学园艺学院、山西农业大学果树研究所、山西省植物保护植物检疫中心4个单位的专家进行意见征求，收到了10条修改意见，均进行了采纳（征求意见情况见附表）。</w:t>
      </w:r>
    </w:p>
    <w:p w14:paraId="4708F290">
      <w:pPr>
        <w:pStyle w:val="2"/>
        <w:spacing w:line="360" w:lineRule="auto"/>
        <w:ind w:left="641" w:firstLine="0" w:firstLineChars="0"/>
        <w:rPr>
          <w:rFonts w:hint="eastAsia" w:ascii="宋体" w:hAnsi="宋体"/>
          <w:b/>
          <w:sz w:val="32"/>
          <w:szCs w:val="32"/>
        </w:rPr>
      </w:pPr>
      <w:r>
        <w:rPr>
          <w:rFonts w:hint="eastAsia" w:ascii="宋体" w:hAnsi="宋体"/>
          <w:b/>
          <w:sz w:val="32"/>
          <w:szCs w:val="32"/>
        </w:rPr>
        <w:t>七、作为强制性或推荐性标准的建议</w:t>
      </w:r>
    </w:p>
    <w:p w14:paraId="3D4E4618">
      <w:pPr>
        <w:spacing w:line="360" w:lineRule="auto"/>
        <w:ind w:firstLine="480" w:firstLineChars="200"/>
        <w:rPr>
          <w:sz w:val="24"/>
          <w:szCs w:val="24"/>
        </w:rPr>
      </w:pPr>
      <w:r>
        <w:rPr>
          <w:rFonts w:hint="eastAsia"/>
          <w:sz w:val="24"/>
          <w:szCs w:val="24"/>
        </w:rPr>
        <w:t>建议本标准为推荐性标准。</w:t>
      </w:r>
    </w:p>
    <w:p w14:paraId="7EE3E101">
      <w:pPr>
        <w:pStyle w:val="2"/>
        <w:numPr>
          <w:ilvl w:val="0"/>
          <w:numId w:val="1"/>
        </w:numPr>
        <w:spacing w:line="360" w:lineRule="auto"/>
        <w:ind w:left="641" w:firstLine="0" w:firstLineChars="0"/>
        <w:rPr>
          <w:rFonts w:hint="eastAsia" w:ascii="宋体" w:hAnsi="宋体"/>
          <w:b/>
          <w:sz w:val="32"/>
          <w:szCs w:val="32"/>
        </w:rPr>
      </w:pPr>
      <w:r>
        <w:rPr>
          <w:rFonts w:hint="eastAsia" w:ascii="宋体" w:hAnsi="宋体"/>
          <w:b/>
          <w:sz w:val="32"/>
          <w:szCs w:val="32"/>
        </w:rPr>
        <w:t>标准实施的措施建议</w:t>
      </w:r>
    </w:p>
    <w:p w14:paraId="073BDED9">
      <w:pPr>
        <w:pStyle w:val="2"/>
        <w:spacing w:line="360" w:lineRule="auto"/>
        <w:ind w:firstLine="480"/>
        <w:rPr>
          <w:rFonts w:hint="eastAsia" w:ascii="宋体" w:hAnsi="宋体"/>
          <w:b/>
          <w:sz w:val="32"/>
          <w:szCs w:val="32"/>
        </w:rPr>
      </w:pPr>
      <w:r>
        <w:rPr>
          <w:rFonts w:hint="eastAsia"/>
          <w:sz w:val="24"/>
        </w:rPr>
        <w:t>山西省市场监督管理局以政府形式在全省桃、梨、苹果主栽区的各地市的行政主管部门、基层推广部门进行宣传推广；标准起草单位通过项目实施，以现场会、培训会、实地指导、发放技术手册等形式在农委、植保站及农村专业合作社中进行宣传和实施；通过电视、网络、报刊等媒体进行宣传。</w:t>
      </w:r>
    </w:p>
    <w:p w14:paraId="1EE0EB7F">
      <w:pPr>
        <w:widowControl/>
        <w:jc w:val="left"/>
        <w:rPr>
          <w:rFonts w:hint="eastAsia" w:ascii="宋体" w:hAnsi="宋体"/>
          <w:sz w:val="32"/>
          <w:szCs w:val="32"/>
        </w:rPr>
      </w:pPr>
    </w:p>
    <w:p w14:paraId="51EBC740">
      <w:pPr>
        <w:widowControl/>
        <w:jc w:val="left"/>
        <w:rPr>
          <w:rFonts w:ascii="宋体" w:hAnsi="宋体"/>
          <w:b/>
          <w:sz w:val="32"/>
          <w:szCs w:val="32"/>
        </w:rPr>
      </w:pPr>
      <w:r>
        <w:rPr>
          <w:rFonts w:hint="eastAsia" w:ascii="宋体" w:hAnsi="宋体"/>
          <w:sz w:val="32"/>
          <w:szCs w:val="32"/>
        </w:rPr>
        <w:t>附表：</w:t>
      </w:r>
    </w:p>
    <w:p w14:paraId="7F863AB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b/>
          <w:sz w:val="36"/>
          <w:szCs w:val="36"/>
        </w:rPr>
      </w:pPr>
      <w:r>
        <w:rPr>
          <w:rFonts w:hint="eastAsia" w:ascii="宋体" w:hAnsi="宋体"/>
          <w:b/>
          <w:color w:val="000000"/>
          <w:sz w:val="36"/>
          <w:szCs w:val="36"/>
        </w:rPr>
        <w:t>征求意见汇总处理</w:t>
      </w:r>
      <w:r>
        <w:rPr>
          <w:rFonts w:hint="eastAsia" w:ascii="宋体" w:hAnsi="宋体"/>
          <w:b/>
          <w:sz w:val="36"/>
          <w:szCs w:val="36"/>
        </w:rPr>
        <w:t>表</w:t>
      </w:r>
    </w:p>
    <w:p w14:paraId="5D47D33E">
      <w:pPr>
        <w:rPr>
          <w:rFonts w:hint="eastAsia" w:ascii="宋体" w:hAnsi="宋体"/>
          <w:b/>
          <w:sz w:val="36"/>
          <w:szCs w:val="36"/>
        </w:rPr>
      </w:pPr>
      <w:r>
        <w:rPr>
          <w:rFonts w:hint="eastAsia" w:ascii="宋体" w:hAnsi="宋体"/>
          <w:b/>
          <w:sz w:val="36"/>
          <w:szCs w:val="36"/>
        </w:rPr>
        <w:br w:type="page"/>
      </w:r>
    </w:p>
    <w:p w14:paraId="53967EF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b/>
          <w:sz w:val="36"/>
          <w:szCs w:val="36"/>
        </w:rPr>
        <w:sectPr>
          <w:pgSz w:w="11906" w:h="16838"/>
          <w:pgMar w:top="1440" w:right="1800" w:bottom="1440" w:left="1800" w:header="851" w:footer="992" w:gutter="0"/>
          <w:cols w:space="425" w:num="1"/>
          <w:docGrid w:type="lines" w:linePitch="312" w:charSpace="0"/>
        </w:sectPr>
      </w:pPr>
    </w:p>
    <w:p w14:paraId="479288F0">
      <w:pPr>
        <w:spacing w:line="360" w:lineRule="auto"/>
        <w:jc w:val="left"/>
        <w:rPr>
          <w:rFonts w:hint="eastAsia" w:ascii="仿宋_GB2312" w:hAnsi="宋体" w:eastAsia="仿宋_GB2312"/>
          <w:sz w:val="24"/>
          <w:lang w:val="en-US" w:eastAsia="zh-CN"/>
        </w:rPr>
      </w:pPr>
      <w:r>
        <w:rPr>
          <w:rFonts w:hint="eastAsia" w:ascii="仿宋_GB2312" w:hAnsi="宋体" w:eastAsia="仿宋_GB2312"/>
          <w:sz w:val="24"/>
          <w:lang w:val="en-US" w:eastAsia="zh-CN"/>
        </w:rPr>
        <w:t>附表</w:t>
      </w:r>
    </w:p>
    <w:p w14:paraId="5C5438B3">
      <w:pPr>
        <w:keepNext w:val="0"/>
        <w:keepLines w:val="0"/>
        <w:pageBreakBefore w:val="0"/>
        <w:widowControl w:val="0"/>
        <w:kinsoku/>
        <w:wordWrap/>
        <w:overflowPunct/>
        <w:topLinePunct w:val="0"/>
        <w:autoSpaceDE/>
        <w:autoSpaceDN/>
        <w:bidi w:val="0"/>
        <w:adjustRightInd/>
        <w:snapToGrid/>
        <w:spacing w:after="161" w:afterLines="50"/>
        <w:jc w:val="center"/>
        <w:textAlignment w:val="auto"/>
        <w:rPr>
          <w:rFonts w:hint="eastAsia" w:ascii="仿宋_GB2312" w:hAnsi="宋体" w:eastAsia="仿宋_GB2312"/>
          <w:sz w:val="24"/>
          <w:lang w:val="en-US" w:eastAsia="zh-CN"/>
        </w:rPr>
      </w:pPr>
      <w:r>
        <w:rPr>
          <w:rFonts w:hint="eastAsia" w:ascii="仿宋_GB2312" w:hAnsi="宋体" w:eastAsia="仿宋_GB2312"/>
          <w:sz w:val="24"/>
          <w:lang w:val="en-US" w:eastAsia="zh-CN"/>
        </w:rPr>
        <w:t>《两性引诱剂防治梨小食心虫技术规程》征求意见汇总处理表</w:t>
      </w:r>
    </w:p>
    <w:p w14:paraId="5ADBA3D4">
      <w:pPr>
        <w:ind w:firstLine="480" w:firstLineChars="200"/>
        <w:rPr>
          <w:rFonts w:ascii="仿宋_GB2312" w:hAnsi="宋体" w:eastAsia="仿宋_GB2312"/>
          <w:sz w:val="24"/>
        </w:rPr>
      </w:pPr>
      <w:r>
        <w:rPr>
          <w:rFonts w:hint="eastAsia" w:ascii="仿宋_GB2312" w:hAnsi="宋体" w:eastAsia="仿宋_GB2312"/>
          <w:sz w:val="24"/>
        </w:rPr>
        <w:t>起草单位：</w:t>
      </w:r>
      <w:r>
        <w:rPr>
          <w:rFonts w:hint="eastAsia" w:ascii="仿宋_GB2312" w:hAnsi="宋体" w:eastAsia="仿宋_GB2312"/>
          <w:sz w:val="24"/>
          <w:lang w:val="en-US" w:eastAsia="zh-CN"/>
        </w:rPr>
        <w:t>山西农业大学</w:t>
      </w:r>
      <w:r>
        <w:rPr>
          <w:rFonts w:hint="eastAsia" w:ascii="仿宋_GB2312" w:hAnsi="宋体" w:eastAsia="仿宋_GB2312"/>
          <w:sz w:val="24"/>
        </w:rPr>
        <w:t xml:space="preserve">        承办人：</w:t>
      </w:r>
      <w:r>
        <w:rPr>
          <w:rFonts w:hint="eastAsia" w:ascii="仿宋_GB2312" w:hAnsi="宋体" w:eastAsia="仿宋_GB2312"/>
          <w:sz w:val="24"/>
          <w:lang w:val="en-US" w:eastAsia="zh-CN"/>
        </w:rPr>
        <w:t>王怡</w:t>
      </w:r>
      <w:r>
        <w:rPr>
          <w:rFonts w:hint="eastAsia" w:ascii="仿宋_GB2312" w:hAnsi="宋体" w:eastAsia="仿宋_GB2312"/>
          <w:sz w:val="24"/>
        </w:rPr>
        <w:t xml:space="preserve">         联系电话：</w:t>
      </w:r>
      <w:r>
        <w:rPr>
          <w:rFonts w:hint="eastAsia" w:ascii="仿宋_GB2312" w:hAnsi="宋体" w:eastAsia="仿宋_GB2312"/>
          <w:sz w:val="24"/>
          <w:lang w:val="en-US" w:eastAsia="zh-CN"/>
        </w:rPr>
        <w:t>19103429665</w:t>
      </w:r>
      <w:r>
        <w:rPr>
          <w:rFonts w:hint="eastAsia" w:ascii="仿宋_GB2312" w:hAnsi="宋体" w:eastAsia="仿宋_GB2312"/>
          <w:sz w:val="24"/>
        </w:rPr>
        <w:t xml:space="preserve">         填写时间：</w:t>
      </w:r>
      <w:r>
        <w:rPr>
          <w:rFonts w:hint="eastAsia" w:ascii="仿宋_GB2312" w:hAnsi="宋体" w:eastAsia="仿宋_GB2312"/>
          <w:sz w:val="24"/>
          <w:lang w:val="en-US" w:eastAsia="zh-CN"/>
        </w:rPr>
        <w:t>2024</w:t>
      </w:r>
      <w:r>
        <w:rPr>
          <w:rFonts w:hint="eastAsia" w:ascii="仿宋_GB2312" w:hAnsi="宋体" w:eastAsia="仿宋_GB2312"/>
          <w:sz w:val="24"/>
        </w:rPr>
        <w:t>年</w:t>
      </w:r>
      <w:r>
        <w:rPr>
          <w:rFonts w:hint="eastAsia" w:ascii="仿宋_GB2312" w:hAnsi="宋体" w:eastAsia="仿宋_GB2312"/>
          <w:sz w:val="24"/>
          <w:lang w:val="en-US" w:eastAsia="zh-CN"/>
        </w:rPr>
        <w:t>10</w:t>
      </w:r>
      <w:r>
        <w:rPr>
          <w:rFonts w:hint="eastAsia" w:ascii="仿宋_GB2312" w:hAnsi="宋体" w:eastAsia="仿宋_GB2312"/>
          <w:sz w:val="24"/>
        </w:rPr>
        <w:t>月</w:t>
      </w:r>
      <w:r>
        <w:rPr>
          <w:rFonts w:hint="eastAsia" w:ascii="仿宋_GB2312" w:hAnsi="宋体" w:eastAsia="仿宋_GB2312"/>
          <w:sz w:val="24"/>
          <w:lang w:val="en-US" w:eastAsia="zh-CN"/>
        </w:rPr>
        <w:t>15</w:t>
      </w:r>
      <w:r>
        <w:rPr>
          <w:rFonts w:hint="eastAsia" w:ascii="仿宋_GB2312" w:hAnsi="宋体" w:eastAsia="仿宋_GB2312"/>
          <w:sz w:val="24"/>
        </w:rPr>
        <w:t>日</w:t>
      </w:r>
    </w:p>
    <w:tbl>
      <w:tblPr>
        <w:tblStyle w:val="7"/>
        <w:tblW w:w="13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692"/>
        <w:gridCol w:w="3642"/>
        <w:gridCol w:w="3420"/>
        <w:gridCol w:w="1970"/>
        <w:gridCol w:w="2102"/>
      </w:tblGrid>
      <w:tr w14:paraId="684B5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3A455453">
            <w:pPr>
              <w:jc w:val="center"/>
              <w:rPr>
                <w:rFonts w:ascii="仿宋_GB2312" w:hAnsi="宋体" w:eastAsia="仿宋_GB2312"/>
                <w:sz w:val="24"/>
              </w:rPr>
            </w:pPr>
            <w:r>
              <w:rPr>
                <w:rFonts w:hint="eastAsia" w:ascii="仿宋_GB2312" w:hAnsi="宋体" w:eastAsia="仿宋_GB2312"/>
                <w:sz w:val="24"/>
              </w:rPr>
              <w:t>序号</w:t>
            </w:r>
          </w:p>
        </w:tc>
        <w:tc>
          <w:tcPr>
            <w:tcW w:w="1692" w:type="dxa"/>
            <w:noWrap w:val="0"/>
            <w:vAlign w:val="center"/>
          </w:tcPr>
          <w:p w14:paraId="7D8A6965">
            <w:pPr>
              <w:jc w:val="center"/>
              <w:rPr>
                <w:rFonts w:ascii="仿宋_GB2312" w:hAnsi="宋体" w:eastAsia="仿宋_GB2312"/>
                <w:sz w:val="24"/>
              </w:rPr>
            </w:pPr>
            <w:r>
              <w:rPr>
                <w:rFonts w:hint="eastAsia" w:ascii="仿宋_GB2312" w:hAnsi="宋体" w:eastAsia="仿宋_GB2312"/>
                <w:sz w:val="24"/>
              </w:rPr>
              <w:t>标准章条编号</w:t>
            </w:r>
          </w:p>
        </w:tc>
        <w:tc>
          <w:tcPr>
            <w:tcW w:w="3642" w:type="dxa"/>
            <w:noWrap w:val="0"/>
            <w:vAlign w:val="center"/>
          </w:tcPr>
          <w:p w14:paraId="0F51A2AE">
            <w:pPr>
              <w:jc w:val="center"/>
              <w:rPr>
                <w:rFonts w:ascii="仿宋_GB2312" w:hAnsi="宋体" w:eastAsia="仿宋_GB2312"/>
                <w:sz w:val="24"/>
              </w:rPr>
            </w:pPr>
            <w:r>
              <w:rPr>
                <w:rFonts w:hint="eastAsia" w:ascii="仿宋_GB2312" w:hAnsi="宋体" w:eastAsia="仿宋_GB2312"/>
                <w:sz w:val="24"/>
              </w:rPr>
              <w:t>意见内容</w:t>
            </w:r>
          </w:p>
        </w:tc>
        <w:tc>
          <w:tcPr>
            <w:tcW w:w="3420" w:type="dxa"/>
            <w:noWrap w:val="0"/>
            <w:vAlign w:val="center"/>
          </w:tcPr>
          <w:p w14:paraId="3C9DBE84">
            <w:pPr>
              <w:jc w:val="center"/>
              <w:rPr>
                <w:rFonts w:ascii="仿宋_GB2312" w:hAnsi="宋体" w:eastAsia="仿宋_GB2312"/>
                <w:sz w:val="24"/>
              </w:rPr>
            </w:pPr>
            <w:r>
              <w:rPr>
                <w:rFonts w:hint="eastAsia" w:ascii="仿宋_GB2312" w:hAnsi="宋体" w:eastAsia="仿宋_GB2312"/>
                <w:sz w:val="24"/>
              </w:rPr>
              <w:t>提出单位</w:t>
            </w:r>
          </w:p>
          <w:p w14:paraId="7E577477">
            <w:pPr>
              <w:jc w:val="center"/>
              <w:rPr>
                <w:rFonts w:ascii="仿宋_GB2312" w:hAnsi="宋体" w:eastAsia="仿宋_GB2312"/>
                <w:sz w:val="24"/>
              </w:rPr>
            </w:pPr>
            <w:r>
              <w:rPr>
                <w:rFonts w:hint="eastAsia" w:ascii="仿宋_GB2312" w:hAnsi="宋体" w:eastAsia="仿宋_GB2312"/>
                <w:sz w:val="24"/>
              </w:rPr>
              <w:t>（或个人）</w:t>
            </w:r>
          </w:p>
        </w:tc>
        <w:tc>
          <w:tcPr>
            <w:tcW w:w="1970" w:type="dxa"/>
            <w:noWrap w:val="0"/>
            <w:vAlign w:val="center"/>
          </w:tcPr>
          <w:p w14:paraId="102B0B6C">
            <w:pPr>
              <w:jc w:val="center"/>
              <w:rPr>
                <w:rFonts w:ascii="仿宋_GB2312" w:hAnsi="宋体" w:eastAsia="仿宋_GB2312"/>
                <w:sz w:val="24"/>
              </w:rPr>
            </w:pPr>
            <w:r>
              <w:rPr>
                <w:rFonts w:hint="eastAsia" w:ascii="仿宋_GB2312" w:hAnsi="宋体" w:eastAsia="仿宋_GB2312"/>
                <w:sz w:val="24"/>
              </w:rPr>
              <w:t>处理意见</w:t>
            </w:r>
          </w:p>
          <w:p w14:paraId="256BD978">
            <w:pPr>
              <w:jc w:val="center"/>
              <w:rPr>
                <w:rFonts w:ascii="仿宋_GB2312" w:hAnsi="宋体" w:eastAsia="仿宋_GB2312"/>
                <w:sz w:val="24"/>
              </w:rPr>
            </w:pPr>
            <w:r>
              <w:rPr>
                <w:rFonts w:hint="eastAsia" w:ascii="仿宋_GB2312" w:hAnsi="宋体" w:eastAsia="仿宋_GB2312"/>
                <w:sz w:val="24"/>
              </w:rPr>
              <w:t>（采纳</w:t>
            </w:r>
            <w:r>
              <w:rPr>
                <w:rFonts w:ascii="仿宋_GB2312" w:hAnsi="宋体" w:eastAsia="仿宋_GB2312"/>
                <w:sz w:val="24"/>
              </w:rPr>
              <w:t>/</w:t>
            </w:r>
            <w:r>
              <w:rPr>
                <w:rFonts w:hint="eastAsia" w:ascii="仿宋_GB2312" w:hAnsi="宋体" w:eastAsia="仿宋_GB2312"/>
                <w:sz w:val="24"/>
              </w:rPr>
              <w:t>不采纳）</w:t>
            </w:r>
          </w:p>
        </w:tc>
        <w:tc>
          <w:tcPr>
            <w:tcW w:w="2102" w:type="dxa"/>
            <w:noWrap w:val="0"/>
            <w:vAlign w:val="center"/>
          </w:tcPr>
          <w:p w14:paraId="49C4D8AD">
            <w:pPr>
              <w:jc w:val="center"/>
              <w:rPr>
                <w:rFonts w:ascii="仿宋_GB2312" w:hAnsi="宋体" w:eastAsia="仿宋_GB2312"/>
                <w:sz w:val="24"/>
              </w:rPr>
            </w:pPr>
            <w:r>
              <w:rPr>
                <w:rFonts w:hint="eastAsia" w:ascii="仿宋_GB2312" w:hAnsi="宋体" w:eastAsia="仿宋_GB2312"/>
                <w:sz w:val="24"/>
              </w:rPr>
              <w:t>意见处理说明</w:t>
            </w:r>
          </w:p>
          <w:p w14:paraId="036667EE">
            <w:pPr>
              <w:jc w:val="center"/>
              <w:rPr>
                <w:rFonts w:ascii="仿宋_GB2312" w:hAnsi="宋体" w:eastAsia="仿宋_GB2312"/>
                <w:sz w:val="24"/>
              </w:rPr>
            </w:pPr>
            <w:r>
              <w:rPr>
                <w:rFonts w:hint="eastAsia" w:ascii="仿宋_GB2312" w:hAnsi="宋体" w:eastAsia="仿宋_GB2312"/>
                <w:sz w:val="24"/>
              </w:rPr>
              <w:t>（不采纳理由等）</w:t>
            </w:r>
          </w:p>
        </w:tc>
      </w:tr>
      <w:tr w14:paraId="6991A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7DC2EFC7">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1</w:t>
            </w:r>
          </w:p>
        </w:tc>
        <w:tc>
          <w:tcPr>
            <w:tcW w:w="1692" w:type="dxa"/>
            <w:noWrap w:val="0"/>
            <w:vAlign w:val="center"/>
          </w:tcPr>
          <w:p w14:paraId="31DDEF49">
            <w:pPr>
              <w:jc w:val="center"/>
              <w:rPr>
                <w:rFonts w:hint="eastAsia" w:ascii="仿宋_GB2312" w:hAnsi="宋体" w:eastAsia="仿宋_GB2312"/>
                <w:sz w:val="24"/>
                <w:lang w:val="en-US" w:eastAsia="zh-CN"/>
              </w:rPr>
            </w:pPr>
            <w:r>
              <w:rPr>
                <w:rFonts w:hint="eastAsia" w:ascii="宋体" w:hAnsi="宋体" w:eastAsia="宋体" w:cs="Times New Roman"/>
                <w:bCs/>
                <w:kern w:val="2"/>
                <w:sz w:val="21"/>
                <w:szCs w:val="21"/>
                <w:lang w:val="en-US" w:eastAsia="zh-CN" w:bidi="ar"/>
              </w:rPr>
              <w:t>2</w:t>
            </w:r>
          </w:p>
        </w:tc>
        <w:tc>
          <w:tcPr>
            <w:tcW w:w="3642" w:type="dxa"/>
            <w:noWrap w:val="0"/>
            <w:vAlign w:val="center"/>
          </w:tcPr>
          <w:p w14:paraId="20912B9B">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行标排序不正确，应按照标准号由小到大排列</w:t>
            </w:r>
          </w:p>
        </w:tc>
        <w:tc>
          <w:tcPr>
            <w:tcW w:w="3420" w:type="dxa"/>
            <w:noWrap w:val="0"/>
            <w:vAlign w:val="center"/>
          </w:tcPr>
          <w:p w14:paraId="0683AB09">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山西农业大学植物保护学院</w:t>
            </w:r>
          </w:p>
        </w:tc>
        <w:tc>
          <w:tcPr>
            <w:tcW w:w="1970" w:type="dxa"/>
            <w:noWrap w:val="0"/>
            <w:vAlign w:val="center"/>
          </w:tcPr>
          <w:p w14:paraId="0DCA715C">
            <w:pPr>
              <w:jc w:val="center"/>
              <w:rPr>
                <w:rFonts w:hint="eastAsia" w:ascii="仿宋_GB2312" w:hAnsi="宋体" w:eastAsia="仿宋_GB2312"/>
                <w:sz w:val="24"/>
              </w:rPr>
            </w:pPr>
            <w:r>
              <w:rPr>
                <w:rFonts w:hint="eastAsia" w:ascii="仿宋_GB2312" w:hAnsi="宋体" w:eastAsia="仿宋_GB2312"/>
                <w:sz w:val="24"/>
              </w:rPr>
              <w:t>采纳</w:t>
            </w:r>
          </w:p>
        </w:tc>
        <w:tc>
          <w:tcPr>
            <w:tcW w:w="2102" w:type="dxa"/>
            <w:noWrap w:val="0"/>
            <w:vAlign w:val="center"/>
          </w:tcPr>
          <w:p w14:paraId="4AD415A3">
            <w:pPr>
              <w:jc w:val="center"/>
              <w:rPr>
                <w:rFonts w:hint="eastAsia" w:ascii="仿宋_GB2312" w:hAnsi="宋体" w:eastAsia="仿宋_GB2312"/>
                <w:sz w:val="24"/>
              </w:rPr>
            </w:pPr>
          </w:p>
        </w:tc>
      </w:tr>
      <w:tr w14:paraId="338E8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3E1BF14C">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2</w:t>
            </w:r>
          </w:p>
        </w:tc>
        <w:tc>
          <w:tcPr>
            <w:tcW w:w="1692" w:type="dxa"/>
            <w:noWrap w:val="0"/>
            <w:vAlign w:val="center"/>
          </w:tcPr>
          <w:p w14:paraId="1F189724">
            <w:pPr>
              <w:jc w:val="center"/>
              <w:rPr>
                <w:rFonts w:hint="eastAsia" w:ascii="仿宋_GB2312" w:hAnsi="宋体" w:eastAsia="仿宋_GB2312"/>
                <w:sz w:val="24"/>
                <w:lang w:val="en-US" w:eastAsia="zh-CN"/>
              </w:rPr>
            </w:pPr>
            <w:r>
              <w:rPr>
                <w:rFonts w:hint="eastAsia" w:ascii="宋体" w:hAnsi="宋体" w:eastAsia="宋体" w:cs="Times New Roman"/>
                <w:bCs/>
                <w:kern w:val="2"/>
                <w:sz w:val="21"/>
                <w:szCs w:val="21"/>
                <w:lang w:val="en-US" w:eastAsia="zh-CN" w:bidi="ar"/>
              </w:rPr>
              <w:t>5.2.1</w:t>
            </w:r>
          </w:p>
        </w:tc>
        <w:tc>
          <w:tcPr>
            <w:tcW w:w="3642" w:type="dxa"/>
            <w:noWrap w:val="0"/>
            <w:vAlign w:val="center"/>
          </w:tcPr>
          <w:p w14:paraId="1B30D8D2">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建议补充诱捕器应悬挂的位置，如：在树背光面</w:t>
            </w:r>
          </w:p>
        </w:tc>
        <w:tc>
          <w:tcPr>
            <w:tcW w:w="3420" w:type="dxa"/>
            <w:noWrap w:val="0"/>
            <w:vAlign w:val="center"/>
          </w:tcPr>
          <w:p w14:paraId="27F1D96E">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山西农业大学植物保护学院</w:t>
            </w:r>
          </w:p>
        </w:tc>
        <w:tc>
          <w:tcPr>
            <w:tcW w:w="1970" w:type="dxa"/>
            <w:noWrap w:val="0"/>
            <w:vAlign w:val="center"/>
          </w:tcPr>
          <w:p w14:paraId="6E71D65F">
            <w:pPr>
              <w:jc w:val="center"/>
              <w:rPr>
                <w:rFonts w:hint="eastAsia" w:ascii="仿宋_GB2312" w:hAnsi="宋体" w:eastAsia="仿宋_GB2312"/>
                <w:sz w:val="24"/>
              </w:rPr>
            </w:pPr>
            <w:r>
              <w:rPr>
                <w:rFonts w:hint="eastAsia" w:ascii="仿宋_GB2312" w:hAnsi="宋体" w:eastAsia="仿宋_GB2312"/>
                <w:sz w:val="24"/>
              </w:rPr>
              <w:t>采纳</w:t>
            </w:r>
          </w:p>
        </w:tc>
        <w:tc>
          <w:tcPr>
            <w:tcW w:w="2102" w:type="dxa"/>
            <w:noWrap w:val="0"/>
            <w:vAlign w:val="center"/>
          </w:tcPr>
          <w:p w14:paraId="439286DA">
            <w:pPr>
              <w:jc w:val="center"/>
              <w:rPr>
                <w:rFonts w:hint="eastAsia" w:ascii="仿宋_GB2312" w:hAnsi="宋体" w:eastAsia="仿宋_GB2312"/>
                <w:sz w:val="24"/>
              </w:rPr>
            </w:pPr>
          </w:p>
        </w:tc>
      </w:tr>
      <w:tr w14:paraId="6DF29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09EEA69A">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3</w:t>
            </w:r>
          </w:p>
        </w:tc>
        <w:tc>
          <w:tcPr>
            <w:tcW w:w="1692" w:type="dxa"/>
            <w:noWrap w:val="0"/>
            <w:vAlign w:val="center"/>
          </w:tcPr>
          <w:p w14:paraId="5A96090F">
            <w:pPr>
              <w:jc w:val="center"/>
              <w:rPr>
                <w:rFonts w:hint="eastAsia" w:ascii="仿宋_GB2312" w:hAnsi="宋体" w:eastAsia="仿宋_GB2312"/>
                <w:sz w:val="24"/>
                <w:lang w:val="en-US" w:eastAsia="zh-CN"/>
              </w:rPr>
            </w:pPr>
            <w:r>
              <w:rPr>
                <w:rFonts w:hint="eastAsia" w:ascii="宋体" w:hAnsi="宋体" w:eastAsia="宋体" w:cs="Times New Roman"/>
                <w:bCs/>
                <w:kern w:val="2"/>
                <w:sz w:val="21"/>
                <w:szCs w:val="21"/>
                <w:lang w:val="en-US" w:eastAsia="zh-CN" w:bidi="ar"/>
              </w:rPr>
              <w:t>5.2.3</w:t>
            </w:r>
          </w:p>
        </w:tc>
        <w:tc>
          <w:tcPr>
            <w:tcW w:w="3642" w:type="dxa"/>
            <w:noWrap w:val="0"/>
            <w:vAlign w:val="center"/>
          </w:tcPr>
          <w:p w14:paraId="336921D1">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建议将“每亩”修改为“每667 m</w:t>
            </w:r>
            <w:r>
              <w:rPr>
                <w:rFonts w:hint="eastAsia" w:ascii="仿宋_GB2312" w:hAnsi="宋体" w:eastAsia="仿宋_GB2312"/>
                <w:sz w:val="24"/>
                <w:vertAlign w:val="superscript"/>
                <w:lang w:val="en-US" w:eastAsia="zh-CN"/>
              </w:rPr>
              <w:t>2</w:t>
            </w:r>
            <w:r>
              <w:rPr>
                <w:rFonts w:hint="eastAsia" w:ascii="仿宋_GB2312" w:hAnsi="宋体" w:eastAsia="仿宋_GB2312"/>
                <w:sz w:val="24"/>
                <w:lang w:val="en-US" w:eastAsia="zh-CN"/>
              </w:rPr>
              <w:t>”</w:t>
            </w:r>
          </w:p>
        </w:tc>
        <w:tc>
          <w:tcPr>
            <w:tcW w:w="3420" w:type="dxa"/>
            <w:noWrap w:val="0"/>
            <w:vAlign w:val="center"/>
          </w:tcPr>
          <w:p w14:paraId="344DF7AA">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山西农业大学植物保护学院</w:t>
            </w:r>
          </w:p>
        </w:tc>
        <w:tc>
          <w:tcPr>
            <w:tcW w:w="1970" w:type="dxa"/>
            <w:noWrap w:val="0"/>
            <w:vAlign w:val="center"/>
          </w:tcPr>
          <w:p w14:paraId="5871F6D9">
            <w:pPr>
              <w:jc w:val="center"/>
              <w:rPr>
                <w:rFonts w:hint="eastAsia" w:ascii="仿宋_GB2312" w:hAnsi="宋体" w:eastAsia="仿宋_GB2312"/>
                <w:sz w:val="24"/>
              </w:rPr>
            </w:pPr>
            <w:r>
              <w:rPr>
                <w:rFonts w:hint="eastAsia" w:ascii="仿宋_GB2312" w:hAnsi="宋体" w:eastAsia="仿宋_GB2312"/>
                <w:sz w:val="24"/>
              </w:rPr>
              <w:t>采纳</w:t>
            </w:r>
          </w:p>
        </w:tc>
        <w:tc>
          <w:tcPr>
            <w:tcW w:w="2102" w:type="dxa"/>
            <w:noWrap w:val="0"/>
            <w:vAlign w:val="center"/>
          </w:tcPr>
          <w:p w14:paraId="553208ED">
            <w:pPr>
              <w:jc w:val="center"/>
              <w:rPr>
                <w:rFonts w:hint="eastAsia" w:ascii="仿宋_GB2312" w:hAnsi="宋体" w:eastAsia="仿宋_GB2312"/>
                <w:sz w:val="24"/>
              </w:rPr>
            </w:pPr>
          </w:p>
        </w:tc>
      </w:tr>
      <w:tr w14:paraId="50076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5F31D16C">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4</w:t>
            </w:r>
          </w:p>
        </w:tc>
        <w:tc>
          <w:tcPr>
            <w:tcW w:w="1692" w:type="dxa"/>
            <w:noWrap w:val="0"/>
            <w:vAlign w:val="center"/>
          </w:tcPr>
          <w:p w14:paraId="77C981AE">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其他</w:t>
            </w:r>
          </w:p>
        </w:tc>
        <w:tc>
          <w:tcPr>
            <w:tcW w:w="3642" w:type="dxa"/>
            <w:noWrap w:val="0"/>
            <w:vAlign w:val="center"/>
          </w:tcPr>
          <w:p w14:paraId="0AF9826E">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以资料性附录形式补充“梨小食心虫发生数量监测和防治效果”调查表格</w:t>
            </w:r>
          </w:p>
        </w:tc>
        <w:tc>
          <w:tcPr>
            <w:tcW w:w="3420" w:type="dxa"/>
            <w:noWrap w:val="0"/>
            <w:vAlign w:val="center"/>
          </w:tcPr>
          <w:p w14:paraId="2BFE4AD4">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山西农业大学植物保护学院</w:t>
            </w:r>
          </w:p>
        </w:tc>
        <w:tc>
          <w:tcPr>
            <w:tcW w:w="1970" w:type="dxa"/>
            <w:noWrap w:val="0"/>
            <w:vAlign w:val="center"/>
          </w:tcPr>
          <w:p w14:paraId="1CA54053">
            <w:pPr>
              <w:jc w:val="center"/>
              <w:rPr>
                <w:rFonts w:hint="eastAsia" w:ascii="仿宋_GB2312" w:hAnsi="宋体" w:eastAsia="仿宋_GB2312"/>
                <w:sz w:val="24"/>
              </w:rPr>
            </w:pPr>
            <w:r>
              <w:rPr>
                <w:rFonts w:hint="eastAsia" w:ascii="仿宋_GB2312" w:hAnsi="宋体" w:eastAsia="仿宋_GB2312"/>
                <w:sz w:val="24"/>
              </w:rPr>
              <w:t>采纳</w:t>
            </w:r>
          </w:p>
        </w:tc>
        <w:tc>
          <w:tcPr>
            <w:tcW w:w="2102" w:type="dxa"/>
            <w:noWrap w:val="0"/>
            <w:vAlign w:val="center"/>
          </w:tcPr>
          <w:p w14:paraId="0EA41ABA">
            <w:pPr>
              <w:jc w:val="center"/>
              <w:rPr>
                <w:rFonts w:hint="eastAsia" w:ascii="仿宋_GB2312" w:hAnsi="宋体" w:eastAsia="仿宋_GB2312"/>
                <w:sz w:val="24"/>
              </w:rPr>
            </w:pPr>
          </w:p>
        </w:tc>
      </w:tr>
      <w:tr w14:paraId="51143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337CAFE6">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5</w:t>
            </w:r>
          </w:p>
        </w:tc>
        <w:tc>
          <w:tcPr>
            <w:tcW w:w="1692" w:type="dxa"/>
            <w:noWrap w:val="0"/>
            <w:vAlign w:val="center"/>
          </w:tcPr>
          <w:p w14:paraId="1E142DF2">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6.1</w:t>
            </w:r>
          </w:p>
        </w:tc>
        <w:tc>
          <w:tcPr>
            <w:tcW w:w="3642" w:type="dxa"/>
            <w:noWrap w:val="0"/>
            <w:vAlign w:val="center"/>
          </w:tcPr>
          <w:p w14:paraId="7DEFA535">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建议将</w:t>
            </w:r>
            <w:r>
              <w:rPr>
                <w:rFonts w:hint="default" w:ascii="仿宋_GB2312" w:hAnsi="宋体" w:eastAsia="仿宋_GB2312"/>
                <w:sz w:val="24"/>
                <w:lang w:val="en-US" w:eastAsia="zh-CN"/>
              </w:rPr>
              <w:t>“</w:t>
            </w:r>
            <w:r>
              <w:rPr>
                <w:rFonts w:hint="eastAsia" w:ascii="仿宋_GB2312" w:hAnsi="宋体" w:eastAsia="仿宋_GB2312"/>
                <w:sz w:val="24"/>
                <w:lang w:val="en-US" w:eastAsia="zh-CN"/>
              </w:rPr>
              <w:t>调查方法按NY/T 2039-2011的规定执行</w:t>
            </w:r>
            <w:r>
              <w:rPr>
                <w:rFonts w:hint="default" w:ascii="仿宋_GB2312" w:hAnsi="宋体" w:eastAsia="仿宋_GB2312"/>
                <w:sz w:val="24"/>
                <w:lang w:val="en-US" w:eastAsia="zh-CN"/>
              </w:rPr>
              <w:t>”</w:t>
            </w:r>
            <w:r>
              <w:rPr>
                <w:rFonts w:hint="eastAsia" w:ascii="仿宋_GB2312" w:hAnsi="宋体" w:eastAsia="仿宋_GB2312"/>
                <w:sz w:val="24"/>
                <w:lang w:val="en-US" w:eastAsia="zh-CN"/>
              </w:rPr>
              <w:t>改为</w:t>
            </w:r>
            <w:r>
              <w:rPr>
                <w:rFonts w:hint="default" w:ascii="仿宋_GB2312" w:hAnsi="宋体" w:eastAsia="仿宋_GB2312"/>
                <w:sz w:val="24"/>
                <w:lang w:val="en-US" w:eastAsia="zh-CN"/>
              </w:rPr>
              <w:t>“</w:t>
            </w:r>
            <w:r>
              <w:rPr>
                <w:rFonts w:hint="eastAsia" w:ascii="仿宋_GB2312" w:hAnsi="宋体" w:eastAsia="仿宋_GB2312"/>
                <w:sz w:val="24"/>
                <w:lang w:val="en-US" w:eastAsia="zh-CN"/>
              </w:rPr>
              <w:t>调查方法按NY/T 2039的规定执行”</w:t>
            </w:r>
          </w:p>
        </w:tc>
        <w:tc>
          <w:tcPr>
            <w:tcW w:w="3420" w:type="dxa"/>
            <w:noWrap w:val="0"/>
            <w:vAlign w:val="center"/>
          </w:tcPr>
          <w:p w14:paraId="570230DF">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山西农业大学园艺学院</w:t>
            </w:r>
          </w:p>
        </w:tc>
        <w:tc>
          <w:tcPr>
            <w:tcW w:w="1970" w:type="dxa"/>
            <w:noWrap w:val="0"/>
            <w:vAlign w:val="center"/>
          </w:tcPr>
          <w:p w14:paraId="571E5151">
            <w:pPr>
              <w:jc w:val="center"/>
              <w:rPr>
                <w:rFonts w:hint="eastAsia" w:ascii="仿宋_GB2312" w:hAnsi="宋体" w:eastAsia="仿宋_GB2312"/>
                <w:sz w:val="24"/>
              </w:rPr>
            </w:pPr>
            <w:r>
              <w:rPr>
                <w:rFonts w:hint="eastAsia" w:ascii="仿宋_GB2312" w:hAnsi="宋体" w:eastAsia="仿宋_GB2312"/>
                <w:sz w:val="24"/>
              </w:rPr>
              <w:t>采纳</w:t>
            </w:r>
          </w:p>
        </w:tc>
        <w:tc>
          <w:tcPr>
            <w:tcW w:w="2102" w:type="dxa"/>
            <w:noWrap w:val="0"/>
            <w:vAlign w:val="center"/>
          </w:tcPr>
          <w:p w14:paraId="72452C45">
            <w:pPr>
              <w:jc w:val="center"/>
              <w:rPr>
                <w:rFonts w:hint="eastAsia" w:ascii="仿宋_GB2312" w:hAnsi="宋体" w:eastAsia="仿宋_GB2312"/>
                <w:sz w:val="24"/>
              </w:rPr>
            </w:pPr>
          </w:p>
        </w:tc>
      </w:tr>
      <w:tr w14:paraId="4240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7BE66728">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6</w:t>
            </w:r>
          </w:p>
        </w:tc>
        <w:tc>
          <w:tcPr>
            <w:tcW w:w="1692" w:type="dxa"/>
            <w:noWrap w:val="0"/>
            <w:vAlign w:val="center"/>
          </w:tcPr>
          <w:p w14:paraId="2A57D21F">
            <w:pPr>
              <w:jc w:val="center"/>
              <w:rPr>
                <w:rFonts w:hint="eastAsia" w:ascii="仿宋_GB2312" w:hAnsi="宋体" w:eastAsia="仿宋_GB2312"/>
                <w:sz w:val="24"/>
                <w:lang w:val="en-US" w:eastAsia="zh-CN"/>
              </w:rPr>
            </w:pPr>
            <w:r>
              <w:rPr>
                <w:rFonts w:hint="default" w:ascii="仿宋_GB2312" w:hAnsi="宋体" w:eastAsia="仿宋_GB2312"/>
                <w:sz w:val="24"/>
                <w:lang w:val="en-US" w:eastAsia="zh-CN"/>
              </w:rPr>
              <w:t>6.1</w:t>
            </w:r>
          </w:p>
        </w:tc>
        <w:tc>
          <w:tcPr>
            <w:tcW w:w="3642" w:type="dxa"/>
            <w:noWrap w:val="0"/>
            <w:vAlign w:val="center"/>
          </w:tcPr>
          <w:p w14:paraId="5DC48C1A">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虫果率建议增加地上落果和果实入库后调查</w:t>
            </w:r>
          </w:p>
        </w:tc>
        <w:tc>
          <w:tcPr>
            <w:tcW w:w="3420" w:type="dxa"/>
            <w:noWrap w:val="0"/>
            <w:vAlign w:val="center"/>
          </w:tcPr>
          <w:p w14:paraId="5DA577A1">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山西农业大学果树研究所</w:t>
            </w:r>
          </w:p>
        </w:tc>
        <w:tc>
          <w:tcPr>
            <w:tcW w:w="1970" w:type="dxa"/>
            <w:noWrap w:val="0"/>
            <w:vAlign w:val="center"/>
          </w:tcPr>
          <w:p w14:paraId="737AE245">
            <w:pPr>
              <w:jc w:val="center"/>
              <w:rPr>
                <w:rFonts w:hint="eastAsia" w:ascii="仿宋_GB2312" w:hAnsi="宋体" w:eastAsia="仿宋_GB2312"/>
                <w:sz w:val="24"/>
              </w:rPr>
            </w:pPr>
            <w:r>
              <w:rPr>
                <w:rFonts w:hint="eastAsia" w:ascii="仿宋_GB2312" w:hAnsi="宋体" w:eastAsia="仿宋_GB2312"/>
                <w:sz w:val="24"/>
              </w:rPr>
              <w:t>采纳</w:t>
            </w:r>
          </w:p>
        </w:tc>
        <w:tc>
          <w:tcPr>
            <w:tcW w:w="2102" w:type="dxa"/>
            <w:noWrap w:val="0"/>
            <w:vAlign w:val="center"/>
          </w:tcPr>
          <w:p w14:paraId="49C846A1">
            <w:pPr>
              <w:jc w:val="center"/>
              <w:rPr>
                <w:rFonts w:hint="eastAsia" w:ascii="仿宋_GB2312" w:hAnsi="宋体" w:eastAsia="仿宋_GB2312"/>
                <w:sz w:val="24"/>
              </w:rPr>
            </w:pPr>
          </w:p>
        </w:tc>
      </w:tr>
      <w:tr w14:paraId="1222B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74DAA4BA">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7</w:t>
            </w:r>
          </w:p>
        </w:tc>
        <w:tc>
          <w:tcPr>
            <w:tcW w:w="1692" w:type="dxa"/>
            <w:noWrap w:val="0"/>
            <w:vAlign w:val="center"/>
          </w:tcPr>
          <w:p w14:paraId="65210A59">
            <w:pPr>
              <w:jc w:val="center"/>
              <w:rPr>
                <w:rFonts w:hint="eastAsia" w:ascii="仿宋_GB2312" w:hAnsi="宋体" w:eastAsia="仿宋_GB2312"/>
                <w:sz w:val="24"/>
                <w:lang w:val="en-US" w:eastAsia="zh-CN"/>
              </w:rPr>
            </w:pPr>
            <w:r>
              <w:rPr>
                <w:rFonts w:hint="default" w:ascii="仿宋_GB2312" w:hAnsi="宋体" w:eastAsia="仿宋_GB2312"/>
                <w:sz w:val="24"/>
                <w:lang w:val="en-US" w:eastAsia="zh-CN"/>
              </w:rPr>
              <w:t>6.2.1</w:t>
            </w:r>
          </w:p>
        </w:tc>
        <w:tc>
          <w:tcPr>
            <w:tcW w:w="3642" w:type="dxa"/>
            <w:noWrap w:val="0"/>
            <w:vAlign w:val="center"/>
          </w:tcPr>
          <w:p w14:paraId="23A30393">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折梢率应该表明是桃园的还是梨园</w:t>
            </w:r>
          </w:p>
        </w:tc>
        <w:tc>
          <w:tcPr>
            <w:tcW w:w="3420" w:type="dxa"/>
            <w:noWrap w:val="0"/>
            <w:vAlign w:val="center"/>
          </w:tcPr>
          <w:p w14:paraId="1EFA56E4">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山西农业大学果树研究所</w:t>
            </w:r>
          </w:p>
        </w:tc>
        <w:tc>
          <w:tcPr>
            <w:tcW w:w="1970" w:type="dxa"/>
            <w:noWrap w:val="0"/>
            <w:vAlign w:val="center"/>
          </w:tcPr>
          <w:p w14:paraId="51C8E442">
            <w:pPr>
              <w:jc w:val="center"/>
              <w:rPr>
                <w:rFonts w:hint="eastAsia" w:ascii="仿宋_GB2312" w:hAnsi="宋体" w:eastAsia="仿宋_GB2312"/>
                <w:sz w:val="24"/>
              </w:rPr>
            </w:pPr>
            <w:r>
              <w:rPr>
                <w:rFonts w:hint="eastAsia" w:ascii="仿宋_GB2312" w:hAnsi="宋体" w:eastAsia="仿宋_GB2312"/>
                <w:sz w:val="24"/>
              </w:rPr>
              <w:t>采纳</w:t>
            </w:r>
          </w:p>
        </w:tc>
        <w:tc>
          <w:tcPr>
            <w:tcW w:w="2102" w:type="dxa"/>
            <w:noWrap w:val="0"/>
            <w:vAlign w:val="center"/>
          </w:tcPr>
          <w:p w14:paraId="645AA9FF">
            <w:pPr>
              <w:jc w:val="center"/>
              <w:rPr>
                <w:rFonts w:hint="eastAsia" w:ascii="仿宋_GB2312" w:hAnsi="宋体" w:eastAsia="仿宋_GB2312"/>
                <w:sz w:val="24"/>
              </w:rPr>
            </w:pPr>
          </w:p>
        </w:tc>
      </w:tr>
      <w:tr w14:paraId="231B6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6837DBE4">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8</w:t>
            </w:r>
          </w:p>
        </w:tc>
        <w:tc>
          <w:tcPr>
            <w:tcW w:w="1692" w:type="dxa"/>
            <w:noWrap w:val="0"/>
            <w:vAlign w:val="center"/>
          </w:tcPr>
          <w:p w14:paraId="203BB6B3">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1</w:t>
            </w:r>
          </w:p>
        </w:tc>
        <w:tc>
          <w:tcPr>
            <w:tcW w:w="3642" w:type="dxa"/>
            <w:noWrap w:val="0"/>
            <w:vAlign w:val="center"/>
          </w:tcPr>
          <w:p w14:paraId="3161948E">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建议将</w:t>
            </w:r>
            <w:r>
              <w:rPr>
                <w:rFonts w:hint="default" w:ascii="仿宋_GB2312" w:hAnsi="宋体" w:eastAsia="仿宋_GB2312"/>
                <w:sz w:val="24"/>
                <w:lang w:val="en-US" w:eastAsia="zh-CN"/>
              </w:rPr>
              <w:t>“</w:t>
            </w:r>
            <w:r>
              <w:rPr>
                <w:rFonts w:hint="eastAsia" w:ascii="仿宋_GB2312" w:hAnsi="宋体" w:eastAsia="仿宋_GB2312"/>
                <w:sz w:val="24"/>
                <w:lang w:val="en-US" w:eastAsia="zh-CN"/>
              </w:rPr>
              <w:t>本文件规定了用于防治梨小食心虫的两性引诱剂的成分、配比、剂量、载体、介质、抗氧化剂与田间设置技术要点。</w:t>
            </w:r>
            <w:r>
              <w:rPr>
                <w:rFonts w:hint="default" w:ascii="仿宋_GB2312" w:hAnsi="宋体" w:eastAsia="仿宋_GB2312"/>
                <w:sz w:val="24"/>
                <w:lang w:val="en-US" w:eastAsia="zh-CN"/>
              </w:rPr>
              <w:t>”</w:t>
            </w:r>
            <w:r>
              <w:rPr>
                <w:rFonts w:hint="eastAsia" w:ascii="仿宋_GB2312" w:hAnsi="宋体" w:eastAsia="仿宋_GB2312"/>
                <w:sz w:val="24"/>
                <w:lang w:val="en-US" w:eastAsia="zh-CN"/>
              </w:rPr>
              <w:t>改为</w:t>
            </w:r>
            <w:r>
              <w:rPr>
                <w:rFonts w:hint="default" w:ascii="仿宋_GB2312" w:hAnsi="宋体" w:eastAsia="仿宋_GB2312"/>
                <w:sz w:val="24"/>
                <w:lang w:val="en-US" w:eastAsia="zh-CN"/>
              </w:rPr>
              <w:t>“</w:t>
            </w:r>
            <w:r>
              <w:rPr>
                <w:rFonts w:hint="eastAsia" w:ascii="仿宋_GB2312" w:hAnsi="宋体" w:eastAsia="仿宋_GB2312"/>
                <w:sz w:val="24"/>
                <w:lang w:val="en-US" w:eastAsia="zh-CN"/>
              </w:rPr>
              <w:t>本文件规定了两性引诱剂防治梨小食心虫技术的术语和定义、引诱剂配置、田间防控、防治效果调查。</w:t>
            </w:r>
            <w:r>
              <w:rPr>
                <w:rFonts w:hint="default" w:ascii="仿宋_GB2312" w:hAnsi="宋体" w:eastAsia="仿宋_GB2312"/>
                <w:sz w:val="24"/>
                <w:lang w:val="en-US" w:eastAsia="zh-CN"/>
              </w:rPr>
              <w:t>”</w:t>
            </w:r>
          </w:p>
        </w:tc>
        <w:tc>
          <w:tcPr>
            <w:tcW w:w="3420" w:type="dxa"/>
            <w:noWrap w:val="0"/>
            <w:vAlign w:val="center"/>
          </w:tcPr>
          <w:p w14:paraId="1C95497F">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山西省植物保护植物检疫中心</w:t>
            </w:r>
          </w:p>
        </w:tc>
        <w:tc>
          <w:tcPr>
            <w:tcW w:w="1970" w:type="dxa"/>
            <w:noWrap w:val="0"/>
            <w:vAlign w:val="center"/>
          </w:tcPr>
          <w:p w14:paraId="1F2FD645">
            <w:pPr>
              <w:jc w:val="center"/>
              <w:rPr>
                <w:rFonts w:hint="eastAsia" w:ascii="仿宋_GB2312" w:hAnsi="宋体" w:eastAsia="仿宋_GB2312"/>
                <w:sz w:val="24"/>
              </w:rPr>
            </w:pPr>
            <w:r>
              <w:rPr>
                <w:rFonts w:hint="eastAsia" w:ascii="仿宋_GB2312" w:hAnsi="宋体" w:eastAsia="仿宋_GB2312"/>
                <w:sz w:val="24"/>
              </w:rPr>
              <w:t>采纳</w:t>
            </w:r>
          </w:p>
        </w:tc>
        <w:tc>
          <w:tcPr>
            <w:tcW w:w="2102" w:type="dxa"/>
            <w:noWrap w:val="0"/>
            <w:vAlign w:val="center"/>
          </w:tcPr>
          <w:p w14:paraId="7F21C434">
            <w:pPr>
              <w:jc w:val="center"/>
              <w:rPr>
                <w:rFonts w:hint="eastAsia" w:ascii="仿宋_GB2312" w:hAnsi="宋体" w:eastAsia="仿宋_GB2312"/>
                <w:sz w:val="24"/>
              </w:rPr>
            </w:pPr>
          </w:p>
        </w:tc>
      </w:tr>
      <w:tr w14:paraId="549F2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12499BE3">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9</w:t>
            </w:r>
          </w:p>
        </w:tc>
        <w:tc>
          <w:tcPr>
            <w:tcW w:w="1692" w:type="dxa"/>
            <w:noWrap w:val="0"/>
            <w:vAlign w:val="center"/>
          </w:tcPr>
          <w:p w14:paraId="2C8B70DB">
            <w:pPr>
              <w:jc w:val="center"/>
              <w:rPr>
                <w:rFonts w:hint="eastAsia" w:ascii="仿宋_GB2312" w:hAnsi="宋体" w:eastAsia="仿宋_GB2312"/>
                <w:sz w:val="24"/>
                <w:lang w:val="en-US" w:eastAsia="zh-CN"/>
              </w:rPr>
            </w:pPr>
            <w:r>
              <w:rPr>
                <w:rFonts w:hint="default" w:ascii="仿宋_GB2312" w:hAnsi="宋体" w:eastAsia="仿宋_GB2312"/>
                <w:sz w:val="24"/>
                <w:lang w:val="en-US" w:eastAsia="zh-CN"/>
              </w:rPr>
              <w:t>2</w:t>
            </w:r>
          </w:p>
        </w:tc>
        <w:tc>
          <w:tcPr>
            <w:tcW w:w="3642" w:type="dxa"/>
            <w:noWrap w:val="0"/>
            <w:vAlign w:val="center"/>
          </w:tcPr>
          <w:p w14:paraId="593B460E">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建议将</w:t>
            </w:r>
            <w:r>
              <w:rPr>
                <w:rFonts w:hint="default" w:ascii="仿宋_GB2312" w:hAnsi="宋体" w:eastAsia="仿宋_GB2312"/>
                <w:sz w:val="24"/>
                <w:lang w:val="en-US" w:eastAsia="zh-CN"/>
              </w:rPr>
              <w:t>“</w:t>
            </w:r>
            <w:r>
              <w:rPr>
                <w:rFonts w:hint="eastAsia" w:ascii="仿宋_GB2312" w:hAnsi="宋体" w:eastAsia="仿宋_GB2312"/>
                <w:sz w:val="24"/>
                <w:lang w:val="en-US" w:eastAsia="zh-CN"/>
              </w:rPr>
              <w:t>规范性引用文件</w:t>
            </w:r>
            <w:r>
              <w:rPr>
                <w:rFonts w:hint="default" w:ascii="仿宋_GB2312" w:hAnsi="宋体" w:eastAsia="仿宋_GB2312"/>
                <w:sz w:val="24"/>
                <w:lang w:val="en-US" w:eastAsia="zh-CN"/>
              </w:rPr>
              <w:t>”</w:t>
            </w:r>
            <w:r>
              <w:rPr>
                <w:rFonts w:hint="eastAsia" w:ascii="仿宋_GB2312" w:hAnsi="宋体" w:eastAsia="仿宋_GB2312"/>
                <w:sz w:val="24"/>
                <w:lang w:val="en-US" w:eastAsia="zh-CN"/>
              </w:rPr>
              <w:t>中引用文件年号去掉，改为“NY/T 3093.3、NY/T 2733、NY/T 2685、NY/T 2039”</w:t>
            </w:r>
          </w:p>
        </w:tc>
        <w:tc>
          <w:tcPr>
            <w:tcW w:w="3420" w:type="dxa"/>
            <w:noWrap w:val="0"/>
            <w:vAlign w:val="center"/>
          </w:tcPr>
          <w:p w14:paraId="3071B517">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山西省植物保护植物检疫中心；山西农业大学园艺学院</w:t>
            </w:r>
          </w:p>
        </w:tc>
        <w:tc>
          <w:tcPr>
            <w:tcW w:w="1970" w:type="dxa"/>
            <w:noWrap w:val="0"/>
            <w:vAlign w:val="center"/>
          </w:tcPr>
          <w:p w14:paraId="6DE333C9">
            <w:pPr>
              <w:jc w:val="center"/>
              <w:rPr>
                <w:rFonts w:hint="eastAsia" w:ascii="仿宋_GB2312" w:hAnsi="宋体" w:eastAsia="仿宋_GB2312"/>
                <w:sz w:val="24"/>
              </w:rPr>
            </w:pPr>
            <w:r>
              <w:rPr>
                <w:rFonts w:hint="eastAsia" w:ascii="仿宋_GB2312" w:hAnsi="宋体" w:eastAsia="仿宋_GB2312"/>
                <w:sz w:val="24"/>
              </w:rPr>
              <w:t>采纳</w:t>
            </w:r>
          </w:p>
        </w:tc>
        <w:tc>
          <w:tcPr>
            <w:tcW w:w="2102" w:type="dxa"/>
            <w:noWrap w:val="0"/>
            <w:vAlign w:val="center"/>
          </w:tcPr>
          <w:p w14:paraId="73EF19F3">
            <w:pPr>
              <w:jc w:val="center"/>
              <w:rPr>
                <w:rFonts w:hint="eastAsia" w:ascii="仿宋_GB2312" w:hAnsi="宋体" w:eastAsia="仿宋_GB2312"/>
                <w:sz w:val="24"/>
              </w:rPr>
            </w:pPr>
          </w:p>
        </w:tc>
      </w:tr>
      <w:tr w14:paraId="7B4AF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375BCD3E">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10</w:t>
            </w:r>
          </w:p>
        </w:tc>
        <w:tc>
          <w:tcPr>
            <w:tcW w:w="1692" w:type="dxa"/>
            <w:noWrap w:val="0"/>
            <w:vAlign w:val="center"/>
          </w:tcPr>
          <w:p w14:paraId="0DFB0C6A">
            <w:pPr>
              <w:jc w:val="center"/>
              <w:rPr>
                <w:rFonts w:hint="eastAsia" w:ascii="仿宋_GB2312" w:hAnsi="宋体" w:eastAsia="仿宋_GB2312"/>
                <w:sz w:val="24"/>
                <w:lang w:val="en-US" w:eastAsia="zh-CN"/>
              </w:rPr>
            </w:pPr>
            <w:r>
              <w:rPr>
                <w:rFonts w:hint="default" w:ascii="仿宋_GB2312" w:hAnsi="宋体" w:eastAsia="仿宋_GB2312"/>
                <w:sz w:val="24"/>
                <w:lang w:val="en-US" w:eastAsia="zh-CN"/>
              </w:rPr>
              <w:t>7</w:t>
            </w:r>
          </w:p>
        </w:tc>
        <w:tc>
          <w:tcPr>
            <w:tcW w:w="3642" w:type="dxa"/>
            <w:noWrap w:val="0"/>
            <w:vAlign w:val="center"/>
          </w:tcPr>
          <w:p w14:paraId="68B4C649">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建议增加</w:t>
            </w:r>
            <w:r>
              <w:rPr>
                <w:rFonts w:hint="default" w:ascii="仿宋_GB2312" w:hAnsi="宋体" w:eastAsia="仿宋_GB2312"/>
                <w:sz w:val="24"/>
                <w:lang w:val="en-US" w:eastAsia="zh-CN"/>
              </w:rPr>
              <w:t>“</w:t>
            </w:r>
            <w:r>
              <w:rPr>
                <w:rFonts w:hint="eastAsia" w:ascii="仿宋_GB2312" w:hAnsi="宋体" w:eastAsia="仿宋_GB2312"/>
                <w:sz w:val="24"/>
                <w:lang w:val="en-US" w:eastAsia="zh-CN"/>
              </w:rPr>
              <w:t>档案管理</w:t>
            </w:r>
            <w:r>
              <w:rPr>
                <w:rFonts w:hint="default" w:ascii="仿宋_GB2312" w:hAnsi="宋体" w:eastAsia="仿宋_GB2312"/>
                <w:sz w:val="24"/>
                <w:lang w:val="en-US" w:eastAsia="zh-CN"/>
              </w:rPr>
              <w:t>”</w:t>
            </w:r>
            <w:r>
              <w:rPr>
                <w:rFonts w:hint="eastAsia" w:ascii="仿宋_GB2312" w:hAnsi="宋体" w:eastAsia="仿宋_GB2312"/>
                <w:sz w:val="24"/>
                <w:lang w:val="en-US" w:eastAsia="zh-CN"/>
              </w:rPr>
              <w:t>章节</w:t>
            </w:r>
          </w:p>
        </w:tc>
        <w:tc>
          <w:tcPr>
            <w:tcW w:w="3420" w:type="dxa"/>
            <w:noWrap w:val="0"/>
            <w:vAlign w:val="center"/>
          </w:tcPr>
          <w:p w14:paraId="1FE41AB8">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山西省植物保护植物检疫中心</w:t>
            </w:r>
          </w:p>
        </w:tc>
        <w:tc>
          <w:tcPr>
            <w:tcW w:w="1970" w:type="dxa"/>
            <w:noWrap w:val="0"/>
            <w:vAlign w:val="center"/>
          </w:tcPr>
          <w:p w14:paraId="3297374D">
            <w:pPr>
              <w:jc w:val="center"/>
              <w:rPr>
                <w:rFonts w:hint="eastAsia" w:ascii="仿宋_GB2312" w:hAnsi="宋体" w:eastAsia="仿宋_GB2312"/>
                <w:sz w:val="24"/>
              </w:rPr>
            </w:pPr>
            <w:r>
              <w:rPr>
                <w:rFonts w:hint="eastAsia" w:ascii="仿宋_GB2312" w:hAnsi="宋体" w:eastAsia="仿宋_GB2312"/>
                <w:sz w:val="24"/>
              </w:rPr>
              <w:t>采纳</w:t>
            </w:r>
          </w:p>
        </w:tc>
        <w:tc>
          <w:tcPr>
            <w:tcW w:w="2102" w:type="dxa"/>
            <w:noWrap w:val="0"/>
            <w:vAlign w:val="center"/>
          </w:tcPr>
          <w:p w14:paraId="7876B523">
            <w:pPr>
              <w:jc w:val="center"/>
              <w:rPr>
                <w:rFonts w:hint="eastAsia" w:ascii="仿宋_GB2312" w:hAnsi="宋体" w:eastAsia="仿宋_GB2312"/>
                <w:sz w:val="24"/>
              </w:rPr>
            </w:pPr>
          </w:p>
        </w:tc>
      </w:tr>
      <w:tr w14:paraId="01EB8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jc w:val="center"/>
        </w:trPr>
        <w:tc>
          <w:tcPr>
            <w:tcW w:w="13675" w:type="dxa"/>
            <w:gridSpan w:val="6"/>
            <w:noWrap w:val="0"/>
            <w:vAlign w:val="center"/>
          </w:tcPr>
          <w:p w14:paraId="6CBB69D3">
            <w:pPr>
              <w:spacing w:line="280" w:lineRule="exact"/>
              <w:rPr>
                <w:rFonts w:ascii="仿宋_GB2312" w:hAnsi="宋体" w:eastAsia="仿宋_GB2312"/>
                <w:sz w:val="24"/>
              </w:rPr>
            </w:pPr>
            <w:r>
              <w:rPr>
                <w:rFonts w:hint="eastAsia" w:ascii="仿宋_GB2312" w:hAnsi="宋体" w:eastAsia="仿宋_GB2312"/>
                <w:sz w:val="24"/>
              </w:rPr>
              <w:t>说明：1.针对明确回复无意见的单位，请在“意见内容”中注明无意见，在“提出单位”列出无意见单位名称。</w:t>
            </w:r>
          </w:p>
          <w:p w14:paraId="7716FD3B">
            <w:pPr>
              <w:spacing w:line="280" w:lineRule="exact"/>
              <w:rPr>
                <w:rFonts w:ascii="仿宋_GB2312" w:hAnsi="宋体" w:eastAsia="仿宋_GB2312"/>
                <w:sz w:val="24"/>
              </w:rPr>
            </w:pPr>
            <w:r>
              <w:rPr>
                <w:rFonts w:hint="eastAsia" w:ascii="仿宋_GB2312" w:hAnsi="宋体" w:eastAsia="仿宋_GB2312"/>
                <w:sz w:val="24"/>
              </w:rPr>
              <w:t>2.发送征求意见单位数</w:t>
            </w:r>
            <w:r>
              <w:rPr>
                <w:rFonts w:ascii="Times New Roman" w:hAnsi="Times New Roman" w:eastAsia="宋体" w:cs="Times New Roman"/>
                <w:szCs w:val="21"/>
                <w:u w:val="single"/>
              </w:rPr>
              <w:t xml:space="preserve"> </w:t>
            </w:r>
            <w:r>
              <w:rPr>
                <w:rFonts w:hint="eastAsia" w:cs="Times New Roman"/>
                <w:szCs w:val="21"/>
                <w:u w:val="single"/>
                <w:lang w:val="en-US" w:eastAsia="zh-CN"/>
              </w:rPr>
              <w:t>4</w:t>
            </w:r>
            <w:r>
              <w:rPr>
                <w:rFonts w:ascii="Times New Roman" w:hAnsi="Times New Roman" w:eastAsia="宋体" w:cs="Times New Roman"/>
                <w:szCs w:val="21"/>
                <w:u w:val="single"/>
              </w:rPr>
              <w:t xml:space="preserve"> </w:t>
            </w:r>
            <w:r>
              <w:rPr>
                <w:rFonts w:hint="eastAsia" w:ascii="仿宋_GB2312" w:hAnsi="宋体" w:eastAsia="仿宋_GB2312"/>
                <w:sz w:val="24"/>
              </w:rPr>
              <w:t>个，收到征求意见稿回函的单位数</w:t>
            </w:r>
            <w:r>
              <w:rPr>
                <w:rFonts w:ascii="Times New Roman" w:hAnsi="Times New Roman" w:eastAsia="宋体" w:cs="Times New Roman"/>
                <w:szCs w:val="21"/>
                <w:u w:val="single"/>
              </w:rPr>
              <w:t xml:space="preserve"> </w:t>
            </w:r>
            <w:r>
              <w:rPr>
                <w:rFonts w:hint="eastAsia" w:cs="Times New Roman"/>
                <w:szCs w:val="21"/>
                <w:u w:val="single"/>
                <w:lang w:val="en-US" w:eastAsia="zh-CN"/>
              </w:rPr>
              <w:t xml:space="preserve">4 </w:t>
            </w:r>
            <w:r>
              <w:rPr>
                <w:rFonts w:hint="eastAsia" w:ascii="仿宋_GB2312" w:hAnsi="宋体" w:eastAsia="仿宋_GB2312"/>
                <w:sz w:val="24"/>
              </w:rPr>
              <w:t>个，收到征求意见稿并提出意见的单位数</w:t>
            </w:r>
            <w:r>
              <w:rPr>
                <w:rFonts w:ascii="Times New Roman" w:hAnsi="Times New Roman" w:eastAsia="宋体" w:cs="Times New Roman"/>
                <w:szCs w:val="21"/>
                <w:u w:val="single"/>
              </w:rPr>
              <w:t xml:space="preserve"> </w:t>
            </w:r>
            <w:r>
              <w:rPr>
                <w:rFonts w:hint="eastAsia" w:cs="Times New Roman"/>
                <w:szCs w:val="21"/>
                <w:u w:val="single"/>
                <w:lang w:val="en-US" w:eastAsia="zh-CN"/>
              </w:rPr>
              <w:t xml:space="preserve">4 </w:t>
            </w:r>
            <w:r>
              <w:rPr>
                <w:rFonts w:hint="eastAsia" w:ascii="仿宋_GB2312" w:hAnsi="宋体" w:eastAsia="仿宋_GB2312"/>
                <w:sz w:val="24"/>
              </w:rPr>
              <w:t>个，没有回函的单位数</w:t>
            </w:r>
            <w:r>
              <w:rPr>
                <w:rFonts w:ascii="Times New Roman" w:hAnsi="Times New Roman" w:eastAsia="宋体" w:cs="Times New Roman"/>
                <w:szCs w:val="21"/>
                <w:u w:val="single"/>
              </w:rPr>
              <w:t xml:space="preserve"> </w:t>
            </w:r>
            <w:r>
              <w:rPr>
                <w:rFonts w:hint="eastAsia" w:cs="Times New Roman"/>
                <w:szCs w:val="21"/>
                <w:u w:val="single"/>
                <w:lang w:val="en-US" w:eastAsia="zh-CN"/>
              </w:rPr>
              <w:t xml:space="preserve">0 </w:t>
            </w:r>
            <w:r>
              <w:rPr>
                <w:rFonts w:hint="eastAsia" w:ascii="仿宋_GB2312" w:hAnsi="宋体" w:eastAsia="仿宋_GB2312"/>
                <w:sz w:val="24"/>
              </w:rPr>
              <w:t>个，共收到</w:t>
            </w:r>
            <w:r>
              <w:rPr>
                <w:rFonts w:ascii="Times New Roman" w:hAnsi="Times New Roman" w:eastAsia="宋体" w:cs="Times New Roman"/>
                <w:szCs w:val="21"/>
                <w:u w:val="single"/>
              </w:rPr>
              <w:t xml:space="preserve"> </w:t>
            </w:r>
            <w:r>
              <w:rPr>
                <w:rFonts w:hint="eastAsia" w:cs="Times New Roman"/>
                <w:szCs w:val="21"/>
                <w:u w:val="single"/>
                <w:lang w:val="en-US" w:eastAsia="zh-CN"/>
              </w:rPr>
              <w:t>10</w:t>
            </w:r>
            <w:r>
              <w:rPr>
                <w:rFonts w:ascii="Times New Roman" w:hAnsi="Times New Roman" w:eastAsia="宋体" w:cs="Times New Roman"/>
                <w:szCs w:val="21"/>
                <w:u w:val="single"/>
              </w:rPr>
              <w:t xml:space="preserve"> </w:t>
            </w:r>
            <w:r>
              <w:rPr>
                <w:rFonts w:hint="eastAsia" w:ascii="仿宋_GB2312" w:hAnsi="宋体" w:eastAsia="仿宋_GB2312"/>
                <w:sz w:val="24"/>
              </w:rPr>
              <w:t>条意见，采纳</w:t>
            </w:r>
            <w:r>
              <w:rPr>
                <w:rFonts w:ascii="Times New Roman" w:hAnsi="Times New Roman" w:eastAsia="宋体" w:cs="Times New Roman"/>
                <w:szCs w:val="21"/>
                <w:u w:val="single"/>
              </w:rPr>
              <w:t xml:space="preserve"> </w:t>
            </w:r>
            <w:r>
              <w:rPr>
                <w:rFonts w:hint="eastAsia" w:cs="Times New Roman"/>
                <w:szCs w:val="21"/>
                <w:u w:val="single"/>
                <w:lang w:val="en-US" w:eastAsia="zh-CN"/>
              </w:rPr>
              <w:t>10</w:t>
            </w:r>
            <w:r>
              <w:rPr>
                <w:rFonts w:ascii="Times New Roman" w:hAnsi="Times New Roman" w:eastAsia="宋体" w:cs="Times New Roman"/>
                <w:szCs w:val="21"/>
                <w:u w:val="single"/>
              </w:rPr>
              <w:t xml:space="preserve"> </w:t>
            </w:r>
            <w:r>
              <w:rPr>
                <w:rFonts w:hint="eastAsia" w:ascii="仿宋_GB2312" w:hAnsi="宋体" w:eastAsia="仿宋_GB2312"/>
                <w:sz w:val="24"/>
              </w:rPr>
              <w:t>条意见，部分采纳</w:t>
            </w:r>
            <w:r>
              <w:rPr>
                <w:rFonts w:ascii="Times New Roman" w:hAnsi="Times New Roman" w:eastAsia="宋体" w:cs="Times New Roman"/>
                <w:szCs w:val="21"/>
                <w:u w:val="single"/>
              </w:rPr>
              <w:t xml:space="preserve"> </w:t>
            </w:r>
            <w:r>
              <w:rPr>
                <w:rFonts w:hint="eastAsia" w:cs="Times New Roman"/>
                <w:szCs w:val="21"/>
                <w:u w:val="single"/>
                <w:lang w:val="en-US" w:eastAsia="zh-CN"/>
              </w:rPr>
              <w:t xml:space="preserve">0 </w:t>
            </w:r>
            <w:r>
              <w:rPr>
                <w:rFonts w:hint="eastAsia" w:ascii="仿宋_GB2312" w:hAnsi="宋体" w:eastAsia="仿宋_GB2312"/>
                <w:sz w:val="24"/>
              </w:rPr>
              <w:t>条意见，未采纳</w:t>
            </w:r>
            <w:r>
              <w:rPr>
                <w:rFonts w:ascii="Times New Roman" w:hAnsi="Times New Roman" w:eastAsia="宋体" w:cs="Times New Roman"/>
                <w:szCs w:val="21"/>
                <w:u w:val="single"/>
              </w:rPr>
              <w:t xml:space="preserve"> </w:t>
            </w:r>
            <w:r>
              <w:rPr>
                <w:rFonts w:hint="eastAsia" w:cs="Times New Roman"/>
                <w:szCs w:val="21"/>
                <w:u w:val="single"/>
                <w:lang w:val="en-US" w:eastAsia="zh-CN"/>
              </w:rPr>
              <w:t xml:space="preserve">0 </w:t>
            </w:r>
            <w:r>
              <w:rPr>
                <w:rFonts w:hint="eastAsia" w:ascii="仿宋_GB2312" w:hAnsi="宋体" w:eastAsia="仿宋_GB2312"/>
                <w:sz w:val="24"/>
              </w:rPr>
              <w:t>条意见。</w:t>
            </w:r>
          </w:p>
        </w:tc>
      </w:tr>
    </w:tbl>
    <w:p w14:paraId="3E9B9675"/>
    <w:p w14:paraId="12721C1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b/>
          <w:sz w:val="36"/>
          <w:szCs w:val="36"/>
        </w:rPr>
      </w:pPr>
      <w:bookmarkStart w:id="8" w:name="_GoBack"/>
      <w:bookmarkEnd w:id="8"/>
    </w:p>
    <w:p w14:paraId="51D36ED4"/>
    <w:sectPr>
      <w:pgSz w:w="16838" w:h="11906" w:orient="landscape"/>
      <w:pgMar w:top="1803" w:right="1440" w:bottom="1803" w:left="1440" w:header="851" w:footer="992" w:gutter="0"/>
      <w:paperSrc/>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F8BCA1"/>
    <w:multiLevelType w:val="singleLevel"/>
    <w:tmpl w:val="41F8BCA1"/>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IxZDYxMjk5YWYyOTFmNDU4NGI0NjIxZGY0YThhYjQifQ=="/>
  </w:docVars>
  <w:rsids>
    <w:rsidRoot w:val="55CB0EC4"/>
    <w:rsid w:val="000069BC"/>
    <w:rsid w:val="000A717E"/>
    <w:rsid w:val="000A7D2B"/>
    <w:rsid w:val="000E01D3"/>
    <w:rsid w:val="00165D44"/>
    <w:rsid w:val="001C316C"/>
    <w:rsid w:val="0024241E"/>
    <w:rsid w:val="00371F65"/>
    <w:rsid w:val="004015F8"/>
    <w:rsid w:val="00471FEB"/>
    <w:rsid w:val="00472D07"/>
    <w:rsid w:val="00473031"/>
    <w:rsid w:val="004C586E"/>
    <w:rsid w:val="00574DF1"/>
    <w:rsid w:val="005B528D"/>
    <w:rsid w:val="00616B73"/>
    <w:rsid w:val="0067563A"/>
    <w:rsid w:val="006B031A"/>
    <w:rsid w:val="006D0C2F"/>
    <w:rsid w:val="007367AD"/>
    <w:rsid w:val="00782478"/>
    <w:rsid w:val="007C75DC"/>
    <w:rsid w:val="00814F35"/>
    <w:rsid w:val="00887C69"/>
    <w:rsid w:val="008B55F3"/>
    <w:rsid w:val="00A4292C"/>
    <w:rsid w:val="00AF7493"/>
    <w:rsid w:val="00B8713A"/>
    <w:rsid w:val="00BF66B7"/>
    <w:rsid w:val="00D03628"/>
    <w:rsid w:val="00DD6801"/>
    <w:rsid w:val="00DF2C99"/>
    <w:rsid w:val="00E13AD3"/>
    <w:rsid w:val="00E82CBB"/>
    <w:rsid w:val="00F43087"/>
    <w:rsid w:val="012C2953"/>
    <w:rsid w:val="015C48BA"/>
    <w:rsid w:val="01730582"/>
    <w:rsid w:val="01916C5A"/>
    <w:rsid w:val="01B56A63"/>
    <w:rsid w:val="02A40749"/>
    <w:rsid w:val="03936CB9"/>
    <w:rsid w:val="04D23811"/>
    <w:rsid w:val="05860158"/>
    <w:rsid w:val="05A75DDB"/>
    <w:rsid w:val="06744454"/>
    <w:rsid w:val="067F3525"/>
    <w:rsid w:val="06D33870"/>
    <w:rsid w:val="07893F2F"/>
    <w:rsid w:val="082223BA"/>
    <w:rsid w:val="085E53BC"/>
    <w:rsid w:val="08F024B8"/>
    <w:rsid w:val="09047D11"/>
    <w:rsid w:val="09905353"/>
    <w:rsid w:val="0A014251"/>
    <w:rsid w:val="0A2F7010"/>
    <w:rsid w:val="0A342878"/>
    <w:rsid w:val="0AD32091"/>
    <w:rsid w:val="0B310D4B"/>
    <w:rsid w:val="0B6C3957"/>
    <w:rsid w:val="0B923CFA"/>
    <w:rsid w:val="0BD27D36"/>
    <w:rsid w:val="0BFC15A1"/>
    <w:rsid w:val="0C177D5B"/>
    <w:rsid w:val="0D7C07BE"/>
    <w:rsid w:val="0D892EDB"/>
    <w:rsid w:val="0DB77A48"/>
    <w:rsid w:val="0DDE3227"/>
    <w:rsid w:val="0E107075"/>
    <w:rsid w:val="0F6E1596"/>
    <w:rsid w:val="0FFF1232"/>
    <w:rsid w:val="1010343F"/>
    <w:rsid w:val="10392996"/>
    <w:rsid w:val="119500A0"/>
    <w:rsid w:val="11D706B9"/>
    <w:rsid w:val="121A05A5"/>
    <w:rsid w:val="139F04BD"/>
    <w:rsid w:val="13B862C8"/>
    <w:rsid w:val="141F00F5"/>
    <w:rsid w:val="148D32B1"/>
    <w:rsid w:val="1534197E"/>
    <w:rsid w:val="155E4C4D"/>
    <w:rsid w:val="15787ABD"/>
    <w:rsid w:val="16D76A65"/>
    <w:rsid w:val="16D847EC"/>
    <w:rsid w:val="17345C65"/>
    <w:rsid w:val="17F130D5"/>
    <w:rsid w:val="180B10BC"/>
    <w:rsid w:val="18BA4890"/>
    <w:rsid w:val="198136D4"/>
    <w:rsid w:val="19CE23A1"/>
    <w:rsid w:val="1A1F0E4F"/>
    <w:rsid w:val="1B244243"/>
    <w:rsid w:val="1B79633D"/>
    <w:rsid w:val="1BEF2AA3"/>
    <w:rsid w:val="1C033E58"/>
    <w:rsid w:val="1C0F0A4F"/>
    <w:rsid w:val="1D9236E6"/>
    <w:rsid w:val="1E110AAE"/>
    <w:rsid w:val="1E74103D"/>
    <w:rsid w:val="1F0979D8"/>
    <w:rsid w:val="1F2D7B6A"/>
    <w:rsid w:val="1FA567E1"/>
    <w:rsid w:val="1FAF67D1"/>
    <w:rsid w:val="202F7912"/>
    <w:rsid w:val="203942EC"/>
    <w:rsid w:val="205904EB"/>
    <w:rsid w:val="20790B8D"/>
    <w:rsid w:val="20BD316F"/>
    <w:rsid w:val="20E56222"/>
    <w:rsid w:val="212925B3"/>
    <w:rsid w:val="21C347B6"/>
    <w:rsid w:val="21F030D1"/>
    <w:rsid w:val="223643DF"/>
    <w:rsid w:val="224717BC"/>
    <w:rsid w:val="235356C5"/>
    <w:rsid w:val="23616034"/>
    <w:rsid w:val="237C7AAB"/>
    <w:rsid w:val="237F470C"/>
    <w:rsid w:val="24073D5B"/>
    <w:rsid w:val="24376D95"/>
    <w:rsid w:val="248A5117"/>
    <w:rsid w:val="24A0493A"/>
    <w:rsid w:val="258E50DA"/>
    <w:rsid w:val="26EC20B9"/>
    <w:rsid w:val="270E64D3"/>
    <w:rsid w:val="27565784"/>
    <w:rsid w:val="27904864"/>
    <w:rsid w:val="27962024"/>
    <w:rsid w:val="27FA6A57"/>
    <w:rsid w:val="28827CF6"/>
    <w:rsid w:val="28EC2844"/>
    <w:rsid w:val="28FE2577"/>
    <w:rsid w:val="2A1831C5"/>
    <w:rsid w:val="2A186697"/>
    <w:rsid w:val="2AFC2AE6"/>
    <w:rsid w:val="2B4C1378"/>
    <w:rsid w:val="2B5C5333"/>
    <w:rsid w:val="2B674404"/>
    <w:rsid w:val="2C161986"/>
    <w:rsid w:val="2C1C3440"/>
    <w:rsid w:val="2C527DA2"/>
    <w:rsid w:val="2CC633AC"/>
    <w:rsid w:val="2D012636"/>
    <w:rsid w:val="2D5664DE"/>
    <w:rsid w:val="2DD35D80"/>
    <w:rsid w:val="2DD6761F"/>
    <w:rsid w:val="2DD815E9"/>
    <w:rsid w:val="2E440A2C"/>
    <w:rsid w:val="2E756E38"/>
    <w:rsid w:val="2EAB3DD0"/>
    <w:rsid w:val="2ED33B5E"/>
    <w:rsid w:val="2FCD1C02"/>
    <w:rsid w:val="30314FE0"/>
    <w:rsid w:val="30466CDD"/>
    <w:rsid w:val="307A24E3"/>
    <w:rsid w:val="30A47560"/>
    <w:rsid w:val="315471D8"/>
    <w:rsid w:val="31FC33CC"/>
    <w:rsid w:val="3210174E"/>
    <w:rsid w:val="329B4993"/>
    <w:rsid w:val="337C2B8E"/>
    <w:rsid w:val="33AA0806"/>
    <w:rsid w:val="34605E94"/>
    <w:rsid w:val="34637732"/>
    <w:rsid w:val="35D83F6D"/>
    <w:rsid w:val="363344CD"/>
    <w:rsid w:val="363841D2"/>
    <w:rsid w:val="37250DEE"/>
    <w:rsid w:val="373B6744"/>
    <w:rsid w:val="375A6BCB"/>
    <w:rsid w:val="37E90DFF"/>
    <w:rsid w:val="3A395226"/>
    <w:rsid w:val="3AE80991"/>
    <w:rsid w:val="3B581673"/>
    <w:rsid w:val="3B8E32E7"/>
    <w:rsid w:val="3BBA0580"/>
    <w:rsid w:val="3C2F6B41"/>
    <w:rsid w:val="3C4F6F1A"/>
    <w:rsid w:val="3C6277C2"/>
    <w:rsid w:val="3CD1792F"/>
    <w:rsid w:val="3CD70CBD"/>
    <w:rsid w:val="3D406863"/>
    <w:rsid w:val="3D9B618F"/>
    <w:rsid w:val="3EDB4A95"/>
    <w:rsid w:val="41B56B45"/>
    <w:rsid w:val="425F778B"/>
    <w:rsid w:val="4359242C"/>
    <w:rsid w:val="437152C3"/>
    <w:rsid w:val="438E518B"/>
    <w:rsid w:val="440C56F0"/>
    <w:rsid w:val="44444E8A"/>
    <w:rsid w:val="445B21D4"/>
    <w:rsid w:val="447A4D50"/>
    <w:rsid w:val="44B00772"/>
    <w:rsid w:val="450B59A8"/>
    <w:rsid w:val="457F1EF2"/>
    <w:rsid w:val="467D0B27"/>
    <w:rsid w:val="468F19EB"/>
    <w:rsid w:val="471E7C15"/>
    <w:rsid w:val="47590C4D"/>
    <w:rsid w:val="483C5CC9"/>
    <w:rsid w:val="48AA54D8"/>
    <w:rsid w:val="49D22F38"/>
    <w:rsid w:val="49D942C7"/>
    <w:rsid w:val="4A361719"/>
    <w:rsid w:val="4A471230"/>
    <w:rsid w:val="4A630034"/>
    <w:rsid w:val="4A742241"/>
    <w:rsid w:val="4A745D9D"/>
    <w:rsid w:val="4ACB00B3"/>
    <w:rsid w:val="4B09298A"/>
    <w:rsid w:val="4B3F2946"/>
    <w:rsid w:val="4BD9235C"/>
    <w:rsid w:val="4BE40D01"/>
    <w:rsid w:val="4BE62CCB"/>
    <w:rsid w:val="4CFB4554"/>
    <w:rsid w:val="4DA1225D"/>
    <w:rsid w:val="4E402B66"/>
    <w:rsid w:val="4E5D75C9"/>
    <w:rsid w:val="4F806F93"/>
    <w:rsid w:val="4F9071D6"/>
    <w:rsid w:val="4F952A3E"/>
    <w:rsid w:val="500D0826"/>
    <w:rsid w:val="501222E0"/>
    <w:rsid w:val="50D8625D"/>
    <w:rsid w:val="510D2AA8"/>
    <w:rsid w:val="518C1C1F"/>
    <w:rsid w:val="51B8783B"/>
    <w:rsid w:val="51C25EE1"/>
    <w:rsid w:val="523429E2"/>
    <w:rsid w:val="52374C03"/>
    <w:rsid w:val="52A511EA"/>
    <w:rsid w:val="53360094"/>
    <w:rsid w:val="53487DC7"/>
    <w:rsid w:val="54A656ED"/>
    <w:rsid w:val="54E12281"/>
    <w:rsid w:val="55060133"/>
    <w:rsid w:val="55200E06"/>
    <w:rsid w:val="55326F81"/>
    <w:rsid w:val="554C3B9F"/>
    <w:rsid w:val="559D089E"/>
    <w:rsid w:val="55AC0AE1"/>
    <w:rsid w:val="55CB0EC4"/>
    <w:rsid w:val="55DF2C65"/>
    <w:rsid w:val="56723AD9"/>
    <w:rsid w:val="576553EC"/>
    <w:rsid w:val="57D936E4"/>
    <w:rsid w:val="58112E7E"/>
    <w:rsid w:val="58CD4FF7"/>
    <w:rsid w:val="5A027DA1"/>
    <w:rsid w:val="5A320BB6"/>
    <w:rsid w:val="5A4C63EF"/>
    <w:rsid w:val="5A557944"/>
    <w:rsid w:val="5AB26B9A"/>
    <w:rsid w:val="5AF50835"/>
    <w:rsid w:val="5B154FF4"/>
    <w:rsid w:val="5B6634E0"/>
    <w:rsid w:val="5C0E60A3"/>
    <w:rsid w:val="5C207B33"/>
    <w:rsid w:val="5C757E7F"/>
    <w:rsid w:val="5D3A4C25"/>
    <w:rsid w:val="5D810AA5"/>
    <w:rsid w:val="5E63113D"/>
    <w:rsid w:val="5EB86749"/>
    <w:rsid w:val="5ECC5D50"/>
    <w:rsid w:val="5F7F2DC3"/>
    <w:rsid w:val="60017C7C"/>
    <w:rsid w:val="60836580"/>
    <w:rsid w:val="60A41D02"/>
    <w:rsid w:val="61587D6F"/>
    <w:rsid w:val="616044A2"/>
    <w:rsid w:val="62015D11"/>
    <w:rsid w:val="623B7475"/>
    <w:rsid w:val="62FB00A1"/>
    <w:rsid w:val="631B1054"/>
    <w:rsid w:val="63554566"/>
    <w:rsid w:val="63BA6ABF"/>
    <w:rsid w:val="6421269A"/>
    <w:rsid w:val="64514357"/>
    <w:rsid w:val="6468651B"/>
    <w:rsid w:val="649B41FB"/>
    <w:rsid w:val="64C33752"/>
    <w:rsid w:val="64D301FA"/>
    <w:rsid w:val="64F24911"/>
    <w:rsid w:val="65402FF4"/>
    <w:rsid w:val="65570BC6"/>
    <w:rsid w:val="65CC6636"/>
    <w:rsid w:val="65DF6369"/>
    <w:rsid w:val="66664CDC"/>
    <w:rsid w:val="670E33AA"/>
    <w:rsid w:val="6759214B"/>
    <w:rsid w:val="67B922EB"/>
    <w:rsid w:val="683C3F47"/>
    <w:rsid w:val="689B5E52"/>
    <w:rsid w:val="68E343C2"/>
    <w:rsid w:val="69201173"/>
    <w:rsid w:val="6949691B"/>
    <w:rsid w:val="696E52AE"/>
    <w:rsid w:val="6A164324"/>
    <w:rsid w:val="6A826E33"/>
    <w:rsid w:val="6A8E65B0"/>
    <w:rsid w:val="6B533758"/>
    <w:rsid w:val="6B633598"/>
    <w:rsid w:val="6B6F6C1F"/>
    <w:rsid w:val="6B8306A8"/>
    <w:rsid w:val="6BE741CA"/>
    <w:rsid w:val="6C3E2B17"/>
    <w:rsid w:val="6D3E606B"/>
    <w:rsid w:val="6DD84013"/>
    <w:rsid w:val="6E0B0643"/>
    <w:rsid w:val="6EC86534"/>
    <w:rsid w:val="6EC9405A"/>
    <w:rsid w:val="6EFF6F37"/>
    <w:rsid w:val="6F1057E5"/>
    <w:rsid w:val="6F6049BF"/>
    <w:rsid w:val="6F834209"/>
    <w:rsid w:val="6FE25DC9"/>
    <w:rsid w:val="6FFB46E7"/>
    <w:rsid w:val="70B7060E"/>
    <w:rsid w:val="71827C2B"/>
    <w:rsid w:val="71C805F9"/>
    <w:rsid w:val="72086C48"/>
    <w:rsid w:val="72C94629"/>
    <w:rsid w:val="73522870"/>
    <w:rsid w:val="73614861"/>
    <w:rsid w:val="7379604F"/>
    <w:rsid w:val="74E03EAC"/>
    <w:rsid w:val="75CB4B5C"/>
    <w:rsid w:val="76726D86"/>
    <w:rsid w:val="77004391"/>
    <w:rsid w:val="783C589D"/>
    <w:rsid w:val="787E7717"/>
    <w:rsid w:val="788C21EC"/>
    <w:rsid w:val="78BB0EB8"/>
    <w:rsid w:val="79102FB2"/>
    <w:rsid w:val="7A1B7E60"/>
    <w:rsid w:val="7A2B7977"/>
    <w:rsid w:val="7AE069B4"/>
    <w:rsid w:val="7B713AB0"/>
    <w:rsid w:val="7BBF3F84"/>
    <w:rsid w:val="7CB77BE8"/>
    <w:rsid w:val="7CC06294"/>
    <w:rsid w:val="7CE0713F"/>
    <w:rsid w:val="7D0F2107"/>
    <w:rsid w:val="7D1666BD"/>
    <w:rsid w:val="7D472D1A"/>
    <w:rsid w:val="7D545437"/>
    <w:rsid w:val="7DB859C6"/>
    <w:rsid w:val="7E01736D"/>
    <w:rsid w:val="7E8965B1"/>
    <w:rsid w:val="7E9957F7"/>
    <w:rsid w:val="7ED05708"/>
    <w:rsid w:val="7FF05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next w:val="1"/>
    <w:qFormat/>
    <w:uiPriority w:val="0"/>
    <w:pPr>
      <w:spacing w:before="100" w:beforeAutospacing="1" w:after="100" w:afterAutospacing="1"/>
      <w:jc w:val="left"/>
    </w:pPr>
    <w:rPr>
      <w:kern w:val="0"/>
      <w:sz w:val="24"/>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paragraph" w:customStyle="1" w:styleId="10">
    <w:name w:val="正文首行缩进 21"/>
    <w:basedOn w:val="11"/>
    <w:next w:val="5"/>
    <w:qFormat/>
    <w:uiPriority w:val="0"/>
    <w:rPr>
      <w:rFonts w:eastAsia="仿宋_GB2312"/>
      <w:sz w:val="32"/>
      <w:szCs w:val="32"/>
    </w:rPr>
  </w:style>
  <w:style w:type="paragraph" w:customStyle="1" w:styleId="11">
    <w:name w:val="正文文本缩进1"/>
    <w:basedOn w:val="1"/>
    <w:qFormat/>
    <w:uiPriority w:val="0"/>
    <w:pPr>
      <w:ind w:left="200" w:leftChars="200"/>
    </w:pPr>
    <w:rPr>
      <w:rFonts w:ascii="Calibri" w:hAnsi="Calibri"/>
    </w:rPr>
  </w:style>
  <w:style w:type="paragraph" w:customStyle="1" w:styleId="12">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2509</Words>
  <Characters>2649</Characters>
  <Lines>19</Lines>
  <Paragraphs>5</Paragraphs>
  <TotalTime>0</TotalTime>
  <ScaleCrop>false</ScaleCrop>
  <LinksUpToDate>false</LinksUpToDate>
  <CharactersWithSpaces>2658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2024-11-07T03:57:00Z</dcterms:created>
  <dc:creator>戴润芳</dc:creator>
  <cp:lastModifiedBy>胀气的河豚</cp:lastModifiedBy>
  <cp:lastPrinted>2022-12-12T01:47:00Z</cp:lastPrinted>
  <dcterms:modified xsi:type="dcterms:W3CDTF">2024-11-07T04:32:53Z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4B81F0CAB70546898B408841B22EB66A_13</vt:lpwstr>
  </property>
</Properties>
</file>